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6680444">
      <w:pPr>
        <w:pBdr/>
        <w:spacing w:after="0" w:line="276" w:lineRule="auto"/>
        <w:ind/>
        <w:jc w:val="center"/>
        <w:rPr>
          <w:rFonts w:ascii="Times New Roman" w:hAnsi="Times New Roman" w:eastAsia="Calibri" w:cs="Arial"/>
          <w:b w:val="0"/>
          <w:bCs w:val="0"/>
          <w:i w:val="0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Calibri" w:cs="Arial"/>
          <w:b w:val="0"/>
          <w:bCs w:val="0"/>
          <w:i w:val="0"/>
          <w:iCs w:val="0"/>
          <w:sz w:val="28"/>
          <w:highlight w:val="none"/>
          <w:lang w:bidi="ar-SA"/>
        </w:rPr>
        <w:t xml:space="preserve">ПЕРЕЧЕНЬ ВОПРОСОВ ДЛЯ ПОДГОТОВКИ К ИТОГОВОМУ ЭКЗАМЕНУ СТУДЕНТОВ ПЕРМСКОЙ ДУХОВНОЙ СЕМИНАРИИ </w:t>
      </w:r>
      <w:r>
        <w:rPr>
          <w:rFonts w:ascii="Times New Roman" w:hAnsi="Times New Roman" w:eastAsia="Calibri" w:cs="Arial"/>
          <w:b w:val="0"/>
          <w:bCs w:val="0"/>
          <w:i w:val="0"/>
          <w:sz w:val="28"/>
          <w:szCs w:val="28"/>
          <w:highlight w:val="none"/>
        </w:rPr>
      </w:r>
    </w:p>
    <w:p w14:paraId="5F2FA326">
      <w:pPr>
        <w:pBdr/>
        <w:spacing w:after="0" w:line="276" w:lineRule="auto"/>
        <w:ind/>
        <w:jc w:val="center"/>
        <w:rPr>
          <w:rFonts w:ascii="Times New Roman" w:hAnsi="Times New Roman" w:eastAsia="Calibri" w:cs="Arial"/>
          <w:b w:val="0"/>
          <w:bCs w:val="0"/>
          <w:i w:val="0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Calibri" w:cs="Arial"/>
          <w:b w:val="0"/>
          <w:bCs w:val="0"/>
          <w:i w:val="0"/>
          <w:iCs w:val="0"/>
          <w:sz w:val="28"/>
          <w:highlight w:val="none"/>
          <w:lang w:bidi="ar-SA"/>
        </w:rPr>
        <w:t xml:space="preserve">ПО НАПРАВЛЕНИЮ ПОДГОТОВКИ: ПОДГОТОВКА СЛУЖИТЕЛЕЙ И РЕЛИГИОЗНОГО ПЕРСОНАЛА РЕЛИГИОЗНЫХ ОРГАНИЗАЦИЙ (профиль – Православная теология (очная форма обучения);</w:t>
      </w:r>
      <w:r>
        <w:rPr>
          <w:rFonts w:ascii="Times New Roman" w:hAnsi="Times New Roman" w:eastAsia="Calibri" w:cs="Arial"/>
          <w:b w:val="0"/>
          <w:bCs w:val="0"/>
          <w:i w:val="0"/>
          <w:sz w:val="28"/>
          <w:szCs w:val="28"/>
          <w:highlight w:val="none"/>
        </w:rPr>
      </w:r>
    </w:p>
    <w:p w14:paraId="51996912">
      <w:pPr>
        <w:pBdr/>
        <w:spacing w:after="0" w:line="276" w:lineRule="auto"/>
        <w:ind/>
        <w:jc w:val="center"/>
        <w:rPr>
          <w:rFonts w:ascii="Times New Roman" w:hAnsi="Times New Roman" w:eastAsia="Calibri" w:cs="Arial"/>
          <w:b w:val="0"/>
          <w:bCs w:val="0"/>
          <w:i w:val="0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Calibri" w:cs="Arial"/>
          <w:b w:val="0"/>
          <w:bCs w:val="0"/>
          <w:i w:val="0"/>
          <w:iCs w:val="0"/>
          <w:sz w:val="28"/>
          <w:highlight w:val="none"/>
          <w:lang w:bidi="ar-SA"/>
        </w:rPr>
        <w:t xml:space="preserve">профиль – Практическая теология Православия (заочная форма обучения))</w:t>
      </w:r>
      <w:r>
        <w:rPr>
          <w:rFonts w:ascii="Times New Roman" w:hAnsi="Times New Roman" w:eastAsia="Calibri" w:cs="Arial"/>
          <w:b w:val="0"/>
          <w:bCs w:val="0"/>
          <w:i w:val="0"/>
          <w:sz w:val="28"/>
          <w:szCs w:val="28"/>
          <w:highlight w:val="none"/>
        </w:rPr>
      </w:r>
    </w:p>
    <w:p w14:paraId="526128B9">
      <w:pPr>
        <w:pBdr/>
        <w:spacing w:after="0" w:line="276" w:lineRule="auto"/>
        <w:ind/>
        <w:jc w:val="center"/>
        <w:rPr>
          <w:rFonts w:ascii="Times New Roman" w:hAnsi="Times New Roman" w:eastAsia="Calibri" w:cs="Arial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Arial"/>
          <w:b w:val="0"/>
          <w:bCs w:val="0"/>
          <w:i w:val="0"/>
          <w:iCs w:val="0"/>
          <w:sz w:val="28"/>
          <w:highlight w:val="none"/>
          <w:lang w:bidi="ar-SA"/>
        </w:rPr>
        <w:t xml:space="preserve">2026 г.</w:t>
      </w:r>
      <w:r>
        <w:rPr>
          <w:rFonts w:ascii="Times New Roman" w:hAnsi="Times New Roman" w:eastAsia="Calibri" w:cs="Arial"/>
          <w:b w:val="0"/>
          <w:bCs w:val="0"/>
          <w:i w:val="0"/>
          <w:iCs w:val="0"/>
          <w:sz w:val="28"/>
          <w:highlight w:val="none"/>
          <w:lang w:bidi="ar-SA"/>
        </w:rPr>
      </w:r>
    </w:p>
    <w:p w14:paraId="692C33E0">
      <w:pPr>
        <w:pBdr/>
        <w:spacing w:after="0" w:line="276" w:lineRule="auto"/>
        <w:ind/>
        <w:jc w:val="center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Arial"/>
          <w:b/>
          <w:bCs/>
          <w:i w:val="0"/>
          <w:iCs w:val="0"/>
          <w:sz w:val="28"/>
          <w:highlight w:val="none"/>
          <w:lang w:bidi="ar-SA"/>
        </w:rPr>
      </w:r>
      <w:r>
        <w:rPr>
          <w:rFonts w:ascii="Times New Roman" w:hAnsi="Times New Roman" w:eastAsia="Calibri" w:cs="Arial"/>
          <w:b/>
          <w:bCs/>
          <w:i w:val="0"/>
          <w:iCs w:val="0"/>
          <w:sz w:val="28"/>
          <w:highlight w:val="none"/>
          <w:lang w:bidi="ar-SA"/>
        </w:rPr>
      </w:r>
      <w:r>
        <w:rPr>
          <w:rFonts w:ascii="Times New Roman" w:hAnsi="Times New Roman" w:eastAsia="Calibri" w:cs="Arial"/>
          <w:b/>
          <w:bCs/>
          <w:i w:val="0"/>
          <w:iCs w:val="0"/>
          <w:sz w:val="28"/>
          <w:highlight w:val="none"/>
          <w:lang w:bidi="ar-SA"/>
        </w:rPr>
      </w:r>
    </w:p>
    <w:p>
      <w:pPr>
        <w:pBdr/>
        <w:spacing w:after="0" w:line="276" w:lineRule="auto"/>
        <w:ind/>
        <w:jc w:val="center"/>
        <w:rPr>
          <w:rFonts w:ascii="Times New Roman" w:hAnsi="Times New Roman" w:eastAsia="Calibri" w:cs="Arial"/>
          <w:b/>
          <w:bCs/>
          <w:i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Перечень вопросов для подготовки к итоговому экзамену </w:t>
      </w: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по дисциплине «Священное Писание Ветхого Завета»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Канон Ветхого Завета в иудейской традиции, Древней Церкви и в современных христианских конфессиях: протестантизме, католичестве, греческом Православии и в Русской Церкви.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Основные версии текста Ветхого Завета. Рукописи Мертвого моря (библейские), их значение для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библеистики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Происхождение Пятикнижия: церковный подход, документальная гипотеза и современные концепции.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Быт 1–2: творение мира и человека, библейское повествование, святоотеческая экзегеза и научные данные. Святоотеческое толкование Быт. 3: грехопадение и его последствия,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первоевангелие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(Быт. 3, 15).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Праотец Ной. Библейское повествование о Всемирном потопе. Вавилонское столпотворение.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Важнейшие события жизни Авраама в святоотеческом изъяснении: призвание (Быт. 12), встреча с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Мелхиседеком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(Быт. 14), заповедь обрезания и богоявление у дубравы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Мамре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(Быт. 17–18), жертвоприношение Исаака (Быт. 22).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Style w:val="165"/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shd w:val="clear" w:color="auto" w:fill="ffff00"/>
          <w:lang w:bidi="ar-SA"/>
        </w:rPr>
      </w:pPr>
      <w:r>
        <w:rPr>
          <w:rFonts w:ascii="Times New Roman" w:hAnsi="Times New Roman" w:eastAsia="Calibri" w:cs="Times New Roman"/>
          <w:sz w:val="28"/>
          <w:highlight w:val="white"/>
          <w:lang w:bidi="ar-SA"/>
        </w:rPr>
        <w:t xml:space="preserve">Праотцы</w:t>
      </w:r>
      <w:r>
        <w:rPr>
          <w:rFonts w:ascii="Times New Roman" w:hAnsi="Times New Roman" w:eastAsia="Calibri" w:cs="Times New Roman"/>
          <w:sz w:val="28"/>
          <w:highlight w:val="white"/>
          <w:lang w:bidi="ar-SA"/>
        </w:rPr>
        <w:t xml:space="preserve"> Иса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ак, Иаков, двенадцать патриархов: библейское повествование, прообразы и святоотеческая экзегеза. Египетское пленение,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прообразовательное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значение Пасхи.</w:t>
      </w:r>
      <w:r>
        <w:rPr>
          <w:rFonts w:ascii="Times New Roman" w:hAnsi="Times New Roman" w:eastAsia="Calibri" w:cs="Times New Roman"/>
          <w:sz w:val="28"/>
          <w:shd w:val="clear" w:color="auto" w:fill="ffff00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Призвание Моисея, откровение имени Божия (Исх. 3–4). Декалог: отличия текста Исх. 20 от Втор. 5, святоотеческое толкование заповедей. Путь в Землю обетованную, Синайское законодательство, Скиния.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Книга Судей: краткая характеристика периода, судьи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Гедеон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Иеффай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Правление царя Давида. Перенесение ковчега в Иерусалим, мессианское пророчество о вечном царстве Давида (2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Цар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6–7).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Соломон и Первый Храм в Иерусалиме. Разделение царств.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Благочестивые цари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Езекия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Иосия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: религиозная политика. Вавилонское пленение. Второй Храм.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Служение пророков. Святые пророки Илья и Елисей: важнейшие события и их святоотеческая экзегеза.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Псалтирь: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надписания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псалмов, формирование книги, основные святоотеческие комментаторы. Мессианские псалмы: обзор и православное толкование важнейших пророчеств.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Книга Иова: содержание пролога, проблема страданий праведника и мессианский смысл в свете православной экзегезы.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Книга Притчей в свете православной экзегезы: учение о Премудрости (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глл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8 и 9), о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богопознании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добродетели и целомудрии.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Екклесиаст: название, нравственное учение книги, православная экзегеза.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Происхождение книги пророка Исаии: традиционный православный взгляд и деление книги на части в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библеистике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XIX — XX вв.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Православное толкование пророчества Исаии о рождении Эммануила от Девы и о лице и служении Эммануила (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глл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7 и 9). Песни Отрока Яхве во второй части книги Исаии.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Книга пророка Иеремии: текстология книги, призвание пророка, пророчество о Новом Завете, православная экзегеза.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Святоотеческая экзегеза избранных фрагментов книги пророка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Иезекииля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: видение подобия славы Господней в образе 4-х животных и призвание пророка, видение сухих костей, видение нового Храма и Иерусалима.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Книга пророка Даниила: проблема происхождения и обзор содержания. Православная экзегеза избранных мест: Сон Навуходоносора и видение 4-х зверей (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глл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2 и 7), пророчество о 70-ти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седминах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(гл. 9).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Книги пророков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Амоса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Осии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Михея: основные темы, мессианские пророчества в свете православной экзегезы.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Книги пророков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Захарии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Малахии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Иоиля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: основные темы, мессианские пророчества в свете православной экзегезы.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Неканонические книги Премудрости Иисуса сына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Сирахова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Премудрости Соломона: основные темы, богослужебное употребление, православная экзегеза.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Неканонические книги (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Товита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Иудифи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Маккавейские книги) и неканонические места Ветхого Завета: основные темы, православная экзегеза, догматическое значение.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8546"/>
        </w:tabs>
        <w:spacing w:after="0" w:line="240" w:lineRule="auto"/>
        <w:ind/>
        <w:jc w:val="center"/>
        <w:rPr>
          <w:rFonts w:ascii="Times New Roman" w:hAnsi="Times New Roman" w:eastAsia="Calibri" w:cs="Times New Roman"/>
          <w:b/>
          <w:i/>
          <w:sz w:val="28"/>
          <w:lang w:bidi="ar-SA"/>
        </w:rPr>
      </w:pP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Перечень вопросов для подготовки к </w:t>
      </w: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итоговому экзамену</w:t>
      </w:r>
      <w:r/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 </w:t>
      </w: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по дисциплине 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«Священное Писание Нового Завета»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Классификация рукописей Нового Завета и важнейшие представители отдельных групп. История перевода Нового Завета на славянский и русский язык. Православные принципы толкования Священного Писания.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Главнейшие особенности каждого из четырех Евангелий: авторство, адресат, цель, время написания, характерные черты, самобытность, символ. Синоптическая проблема и варианты ее решения.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Пролог Евангелия от Иоанна: основное содержание, особенности греческой терминологии, православная экзегеза и богословское значение.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Рождество Христово: основные предшествовавшие и последующие события до возвращения Младенца Христа в Галилею, православная экзегеза и богословское значение.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Крещение Господа Иисуса Христа: евангельское повествование, основные предшествовавшие и последующие события, православная экзегеза и богословское значение.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Чудеса Господа Иисуса Христа, их связь с учением Спасителя и значение в деле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благовестия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: чудеса исцелений (исцеление слепорожденного; Ин. 9, 1–38), изгнания бесов (история с отроком-лунатиком; Мф. 17, 14–21;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Мк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9, 14–29;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Лк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9, 37–43), господство над природой (хождение по водам; Мф. 14, 22–33;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Мк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6, 45–52; Ин. 6, 15–21; насыщение пяти тысяч; Мф. 14, 13–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21;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Мк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6, 31–44;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Лк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9, 10–17; Ин. 6, 1–14) и воскрешения мертвых (воскрешение дочери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Иаира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; Мф. 9, 18–26;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Мк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5, 21–43;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Лк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8, 40–56).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Беседы Христа с Никодимом (</w:t>
      </w:r>
      <w:r>
        <w:rPr>
          <w:rFonts w:ascii="Times New Roman" w:hAnsi="Times New Roman" w:eastAsia="Helvetica" w:cs="Times New Roman"/>
          <w:sz w:val="28"/>
          <w:lang w:bidi="ar-SA"/>
        </w:rPr>
        <w:t xml:space="preserve">Ин. 3, 1–21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), с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самарянкой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(</w:t>
      </w:r>
      <w:r>
        <w:rPr>
          <w:rFonts w:ascii="Times New Roman" w:hAnsi="Times New Roman" w:eastAsia="Helvetica" w:cs="Times New Roman"/>
          <w:sz w:val="28"/>
          <w:lang w:bidi="ar-SA"/>
        </w:rPr>
        <w:t xml:space="preserve">Ин. 4, 4–42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), о равенстве Богу Отцу (</w:t>
      </w:r>
      <w:r>
        <w:rPr>
          <w:rFonts w:ascii="Times New Roman" w:hAnsi="Times New Roman" w:eastAsia="Helvetica" w:cs="Times New Roman"/>
          <w:sz w:val="28"/>
          <w:lang w:bidi="ar-SA"/>
        </w:rPr>
        <w:t xml:space="preserve">Ин. 5, 17–47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) и о Хлебе Жизни (</w:t>
      </w:r>
      <w:r>
        <w:rPr>
          <w:rFonts w:ascii="Times New Roman" w:hAnsi="Times New Roman" w:eastAsia="Helvetica" w:cs="Times New Roman"/>
          <w:sz w:val="28"/>
          <w:lang w:bidi="ar-SA"/>
        </w:rPr>
        <w:t xml:space="preserve">Ин. 6, 22–71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): основные темы, православная экзегеза и богословское значение.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Нагорная проповедь: структура, основные темы и православная экзегеза.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Притчи Христовы: основные группы. Содержание и православная экзегеза притч о сеятеле, о пшенице и плевелах, о милосердном самарянине, о блудном сыне.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Преображение Господне: евангельское повествование, место в евангельской истории, православная экзегеза и богословское значение.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Три исповедания Господа Иисуса Христа: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Нафанаила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(Ин. 1, 45–51), ап. Петра (Мф. 16, 13–19) и ап. Фомы (Ин. 20, 24–29); их особенности и толкование в православной экзегезе. Указание св. Иоанна Предтечи на Иисуса как страждущего Мессию (Ин. 1, 35–36) и подтверждение этой мысли Спасителем.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Воскрешение праведного Лазаря. Вход Господень в Иерусалим. События страстной седмицы от понедельника до среды.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Установление Таинства Евхаристии. Прощальная беседа Христа с учениками: основные темы.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Суд и распятие Господа Иисуса Христа: хронология событий и православная экзегеза.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Воскресение Христово: хронология событий и православная экзегеза. Богословское значение события воскресения.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Вознесение Господне и Пятидесятница: библейское повествование, православная экзегеза и богословское значение.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Сотериологическое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экклезиологическое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значение сошествия Св. Духа на апостолов.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Распространение христианства среди язычников. Богословская проблематика спора об обрезании христиан из язычников. Апостольский собор. Миссионерские путешествия апостола Павла (краткая характеристика).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Учение о любви ап. Иоанна Богослова (Ин. 3, 16; 1 Ин. 2, 9–11, 15–17; 4, 7–12) и ап. Павла (1 Кор. 12–13).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Учение ап. Иакова и ап. Петра (1 Петр.) о перенесении страданий и искушении. Учение ап. Петра (1 Петр) о сошествии Христа во ад. Вера и дела согласно Посланию апостола Иакова.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Свобода во Христе и новая жизнь в Духе Святом (Рим. 8), богословское осмысление истории человечества, спасение верой, соотношение закона и благодати по Посланию ап. Павла к Римлянам.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Учение о Церкви по Посланию ап. Павла к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Ефесянам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согласно прочим апостольским Посланиям.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Апостольское служение согласно 1 и 2 Посланиям ап. Павла к Коринфянам: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соработники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домостроители, служение Нового Завета,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ревностное служение, служение примирения; контраст внутренней сущности и внешних условий осуществления: «сокровище носим в глиняных сосудах».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Требования к священству согласно Пастырским посланиям.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Эсхатология Нового Завета: Послания ап. Павла к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Фессалоникийцам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2 Послание ап. Петра.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2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Жанровые особенности книги Откровения. Проблема авторства и датировки. Место в каноне и православная экзегеза. Эсхатология Апокалипсиса.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8546"/>
        </w:tabs>
        <w:spacing w:after="0" w:line="240" w:lineRule="auto"/>
        <w:ind/>
        <w:jc w:val="center"/>
        <w:rPr>
          <w:rFonts w:ascii="Times New Roman" w:hAnsi="Times New Roman" w:eastAsia="Calibri" w:cs="Times New Roman"/>
          <w:b/>
          <w:i/>
          <w:sz w:val="28"/>
          <w:lang w:bidi="ar-SA"/>
        </w:rPr>
      </w:pP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Перечень вопросов для подготовки к </w:t>
      </w: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итоговому экзамену</w:t>
      </w:r>
      <w:r/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 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по дисциплине «Догматическое богословие»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u w:val="single"/>
          <w:lang w:bidi="ar-SA"/>
        </w:rPr>
      </w:pPr>
      <w:r>
        <w:rPr>
          <w:rFonts w:ascii="Times New Roman" w:hAnsi="Times New Roman" w:eastAsia="Calibri" w:cs="Times New Roman"/>
          <w:sz w:val="28"/>
          <w:u w:val="single"/>
          <w:lang w:bidi="ar-SA"/>
        </w:rPr>
        <w:t xml:space="preserve">Теоретическая часть</w:t>
      </w:r>
      <w:r>
        <w:rPr>
          <w:rFonts w:ascii="Times New Roman" w:hAnsi="Times New Roman" w:eastAsia="Calibri" w:cs="Times New Roman"/>
          <w:sz w:val="28"/>
          <w:u w:val="single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1. Понятия догмата и ереси. Что такое Предание Церкви и как оно соотносится со Священным Писанием? В чем заключается проблема догматического развития?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2. Что говорит Священное Писание о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богопознании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? Что такое апофатический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катафатический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пути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богопознания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? Какие божественные свойства осмысляются в рамках каждого из них: перечислите и раскройте значение некоторых?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3. Каковы библейские основания догмата о Пресвятой Троице? Как догмат о Пресвятой Троице был раскрыт на I и II Вселенских Соборах?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4. Как в догматическом богословии соотносятся термины «сущность» («природа»), «лицо» («ипостась»), «энергия» («действие»), «воля»? Приведите примеры использования данных терминов Вселенскими Соборами и/или Святыми Отцами.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5. В чем состоит церковное учение об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обожении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какова его связь с учением о Божественных энергиях?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6. Почему, зачем и как Бог сотворил мир? Что такое Промысл Божий? Откуда в мире появилось зло?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7. Что такое образ и подобие Божие в человеке? В чем заключаются последствия грехопадения? Как свобода человеческой воли соотносится с Божественным всеведением?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8. Почему Православная Церковь верит во Христа как в Истинн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ого Бога и Истинного Человека? Как сочетается в Нём Божество и человечество? Сколько во Христе природ, лиц, действий и воль? Чем состояние человеческой природы Христа отличается от нашего? Дайте ответ, основываясь на Священном Писании и Священном Предании.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9. Почему мы называем Деву Марию Богородицей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Приснодевой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? Дайте ответ, основываясь на Священном Писании и Священном Предании. Каково отношение Православной Церкви к католическому догмату о непорочном зачатии Девы Марии?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10. Почему мы изображаем Христа Бога на иконах? Почему почитаем иконы Христа, Богородицы и святых? Дайте ответ, основываясь на Священном Писании и Священном Предании.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11. В чем состоит Искупление, совершенное Христом? Как об этом говорит Священное Писание? Какие существуют теории Искупления? Могут ли они исчерпывающе описать Искупление?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12. В чем заключается предназначение Церкви и каковы Её с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ущественные свойства? Что значит апостольское преемство? Почему для спасения недостаточно «иметь Бога в душе», быть просто «хорошим человеком»? Как сочетается действие Божией благодати и свободы человека? Что важнее в деле спасения — вера или добрые дела?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13. Какие священнодействия Церковь называет Таинствами? Что понимается под действительностью и действенностью Таинства? Кто совершает Таинства? Раскройте учение о Евхаристии на основании Священного Писания и Священного Предания.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14. Какова посмертная участь человека? Как в православном богословии понимаются «Царство Небесное» и «ад»? Отличие православного учения о мытарствах от католического воззрения на чистилище? В чем смысл и значение церковных молитв об усопших?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15. Как Церковь учит о конце мира и Страшном суде? Какие события будут им предшествовать? Каковы богословские основания учения о вечном блаженстве и адских муках?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center"/>
        <w:rPr>
          <w:rFonts w:ascii="Times New Roman" w:hAnsi="Times New Roman" w:eastAsia="Calibri" w:cs="Times New Roman"/>
          <w:i/>
          <w:sz w:val="28"/>
          <w:u w:val="single"/>
          <w:lang w:bidi="ar-SA"/>
        </w:rPr>
      </w:pPr>
      <w:r>
        <w:rPr>
          <w:rFonts w:ascii="Times New Roman" w:hAnsi="Times New Roman" w:eastAsia="Calibri" w:cs="Times New Roman"/>
          <w:i/>
          <w:sz w:val="28"/>
          <w:u w:val="single"/>
          <w:lang w:bidi="ar-SA"/>
        </w:rPr>
        <w:t xml:space="preserve">Практическая часть</w:t>
      </w:r>
      <w:r>
        <w:rPr>
          <w:rFonts w:ascii="Times New Roman" w:hAnsi="Times New Roman" w:eastAsia="Calibri" w:cs="Times New Roman"/>
          <w:i/>
          <w:sz w:val="28"/>
          <w:u w:val="single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На библейском языке термин «познание» в том числе может о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значать опытное познание через определённого рода соединение субъекта познания с объектом познания. Но в богословии было определено, что Бог познаваем только интеллектуально — через знание Его Имени. Главное имя Божие, выражающее саму сущность Бога — Имя «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Нерожденный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». Поэтому Сын, как «рожденный», имеет совсем другую сущность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, чем Отец. Можно говорить о различии в Боге между непознаваемой, несообщаемой Божественной сущность и познаваемыми, сообщаемыми Божественными энергиями (Божественным действием). Божественные энергии (действие) исходят из Божественной сущности, но в своем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исхождении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не отделяются от нее. Для людей возможно только рациональное знание о Боге, приобретенное из Священного Писания и Предания, а также получаемое в результате изучения устройства и законов вселенной. Фаворский свет — это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тварное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атмосферное явление на горе Фавор, поэтому Бог не познаваем, не именуем и не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причаствуем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по Своим энергиям (действиям).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Христос родился от Девы Марии сверхъестественным способом — без мужа и без нарушения Её девств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а. Он есть Спаситель мира, предсказанный в ветхозаветных пророчествах. Он не есть Бог по сущности, а есть простой человек, рожденный от Девы Марии чудесным образом. Бог един по существу, лицу и ипостаси. У Единого Бога есть «единосущная» Ему сила (то есть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нетварная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, вечная, всегда Ему присущая; в Писании — Премудрость, С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вятой Дух, Логос). На Иисуса в момент Крещения сошла эта Божественная сила. Иисус её всё больше и больше Себе усваивал, борясь и постепенно побеждая грех в Себе. В конце Своего земного пути Христос принес Себя в жертву, чтобы искупить всё человечество. На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третий день после распятия Он воскрес из мертвых, а на 40-й день — вознесся на небеса. В день Пятидесятницы на апостолов сошел Святой Дух. Он не единосущен Отцу и Сыну, Он чужд Отцу и Сыну как по сущности, так и по достоинству, ибо Его природа служебная и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тварная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Христос родился от Девы Марии сверхъестественным способом — без мужа и без нарушения Её девства. Он есть Спаситель мира, предсказанный в ветхозаветных пророчествах. Он —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воплотившийся Бог. Бог един по существу и ипостаси, но троичен в лицах, то есть образах существования, модусах, ролях. Бог до творения мира замкнут Сам в Себе. Затем Он открывается, становится говорящим, то есть Логосом. Логос творит мир, соприкасается с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тварным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, и поочередно принимает три модуса — Отца, Сына и Святого Духа, которые понимаются как проявления одного и того же Бога. Бог есть Троица, Три Лица, Три Ипостаси — Отец, Сын и Святой Дух. Отец —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безначален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, Сын —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предвечно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рождается от Отца, Дух Святой —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предвечно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исходит от Отца. Сын появляется, творится Отцом, в некий момент времени из небытия. Он — это высшее и первое творение, которое творит весь остальной мир, являясь посредником между Богом и миром.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Господь наш Иисус Христос есть истинный Бог и истинный челове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к, из разумной души и тела, Он единосущен Отцу по Божеству и единосущен нам по человечеству, во всем подобен нам кроме греха. Единое лицо и единая ипостась Христа образовалось уже после рождения в результате соединения предвечного Лица, Ипостаси Логоса, и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человеческого лица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и ипостаси. Поэтому Деву Марию вернее было бы называть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Христородицею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, а не Богородицею, поскольку она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родила человека Христа, Который принял в Себя Бога, а не Самого Бога. Сын Божий вочеловечился, чтобы спасти людей от греха, проклятия и смерти. Конечная Его победа над силами Антихриста свершится во время Второго Славного Пришествия Христова. Тогда будет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два отдельных по времени воскресения мертвых. Сначала будет воскресен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ие праведников, которые будут царствовать со Христом тысячу лет. В награду за свои подвиги и страдания праведники будут наслаждаться всеми благами — духовными и чувственными. Только затем произойдет воскресение грешников и нехристиан, которые будут судимы.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Бог есть Троица, Три Лица, Три Ипостаси — Отец, Сын и Святой Дух. Сын не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совечен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Отцу, Он появляется, творится Отцом в некий момент времени из небытия. Он — это высшее и первое творение, которое творит весь остальной мир, явл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яясь посредником между Богом и миром. Сын Божий воплощается, то есть принимает в Свою Ипостась человеческую природу. Воплотившись, он принес Себя в жертву, чтобы искупить всё человечество. Господь наш Иисус Христос есть истинный Бог и истинный человек, из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разумной души и тела, Он единосущен Отцу по Божеству и единосущен нам по человечеству, во всем подобен нам кроме греха. При этом тело Христа не единосущно нашим телам, не материально. Ибо Христос — «небесный человек», лишь «в подобии плоти», Его тело было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снисшедшим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с неба, тончайшим и призрачным, поэтому Он только казался человеком, Его тело лишь казалось материальным, но не являлось таковым. 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Благодать есть особая освящающая и спасающая человека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нетварная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Божественная сила, действующая совместно с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естественными силами и способностями человека и преображающая его природу. Эта благодать оправдания дана нам ради того, чтобы возможное ко исполнению по свободному произволению удобнее исполняли мы через благодать, так как бы и не приняв благодати Божией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мы, хотя и с неудобством, однако и без нее могли бы исполнить Божественные заповеди и таким образом получить оправдание на Страшном Суде. Время Второго Пришествия Христова и Страшного Суда неизвестно. Признаками приближения Второго пришествия Христова явля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ются распространение Евангелия во всем мире, обращение Израиля ко Христу, явление пророка Илии, усиление зла и пришествие Антихриста. Затем свершится второе славное пришествие Христово и победа над силами зла. На Страшном суде все получат воздаяние сообраз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но своим поступками. Но мучение демонов и нечестивых людей не будет бесконечным, после некоторого времени последует восстановление злых духов и нечестивых людей в первоначальном, святом состоянии, и все разумные существа будут одесную Бога, как и Христос. 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Единая и неделимая сущность Божия существует в трех Ипостасях, то есть Лицах. Различие Ипостасей основано на Их взаимоотношениях: Отец ни от Кого не происходит, Сын, Логос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предвечно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рождается от Отца, а Дух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предвечно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исходит. Святой Дух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предвечно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исходит от Отца и Сына как единого источника. Сын Божий рождается то Отца прежде творения мира. Восприняв в Свою Божественную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Ипостась человеческую природу, Он воплотился от Марии Девы Богородицы ради нашего спасения. При этом Воплощение есть соединение единосущного Отцу Логоса и плоти, оживляемой неразумной душой, т.е. лишенной собственного ума-духа, место которого занял Логос.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Господь наш Иисус Христос есть истинный Бог и истинный человек, из разумной души и тела, Он единосущен Отцу по Божеству и единосущен нам по человечеству, во всем подобен нам кроме греха. При Воплощении ради н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ашего спасения от Богородицы Девы Марии из двух природ образовалась единая сложная ипостась и единая сложная природа с единой, Божественной, волей и действием. Христос основал Церковь, в которой действует благодать — особая освящающая и спасающая человека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нетварная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Божественная сила. Эта благ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одать оправдания дана нам ради того, чтобы возможное ко исполнению по свободному произволению удобнее исполняли мы через благодать, так как бы и не приняв благодати Божией мы, хотя и с неудобством, однако и без нее могли бы исполнить Божественные заповеди.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Господь наш Иисус Христос есть истин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ный Бог и истинный человек, из разумной души и тела, Он единосущен Отцу по Божеству и единосущен нам по человечеству, во всем подобен нам кроме греха. После Воплощения во Христе — две природы, но только одно (Божественное) действие и только одна (Божествен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ная) воля. Христос проповедовал Своим ученикам и обещал им от Отца Духа Утешителя, Который и сошёл на апостолов в день Пятидесятницы в Иерусалиме. Дух не единосущен Отцу и Сыну, по сущности и по достоинству Он чужд Отцу и Сыну, ибо Его природа служебная и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тварная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. Дух Святой говорил в древности через пророков и в день Пятидесятницы дал апостолам дар говорить на других языках ради скорейшей проповеди христианского учения.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</w:tabs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Найдите в тексте еретические положения, принадлежащие двум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разным ересям. Назовите эти ереси и дайте по каждой из них краткую историческую справку, богословскую оценку и православное опровержение.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tabs>
          <w:tab w:val="left" w:leader="none" w:pos="28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lang w:bidi="ar-SA"/>
        </w:rPr>
      </w:pP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Господь наш Иисус Христос есть истинный Бог и истинный челове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к, из разумной души и тела, Он единосущен Отцу по Божеству и единосущен нам по человечеству, во всем подобен нам кроме греха. Единое лицо и единая ипостась Христа образовалось уже после рождения в результате соединения предвечного Лица, Ипостаси Логоса, и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человеческого лица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 и ипостаси, они соединены относительно и по благоволению, так что человеческое естество Христа постепенно проходит процесс исцеления и нравственного совершенствования. Поэтому Деву Марию вернее было бы называть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Христородицею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, а не Богородицею, поскольку она родила не Бога, а человека Христа, Который принял в Себя Бога. В конце времен явится новое небо и новая земля, святой город Иерусалим. Праведники наследуют вечное блаженств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о, а грешники попадут в ад. Но мучение демонов и грешников не будет бесконечным, после некоторого времени последует восстановление злых духов и нечестивых людей в первоначальном, святом состоянии, и все разумные существа будут одесную Бога, как и Христос. </w:t>
      </w:r>
      <w:r>
        <w:rPr>
          <w:rFonts w:ascii="Times New Roman" w:hAnsi="Times New Roman" w:eastAsia="Calibri" w:cs="Times New Roman"/>
          <w:i/>
          <w:sz w:val="28"/>
          <w:lang w:bidi="ar-SA"/>
        </w:rPr>
      </w:r>
    </w:p>
    <w:p>
      <w:pPr>
        <w:pBdr/>
        <w:tabs>
          <w:tab w:val="left" w:leader="none" w:pos="8546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lang w:bidi="ar-SA"/>
        </w:rPr>
      </w:pPr>
      <w:r>
        <w:rPr>
          <w:rFonts w:ascii="Times New Roman" w:hAnsi="Times New Roman" w:eastAsia="Calibri" w:cs="Times New Roman"/>
          <w:b/>
          <w:sz w:val="28"/>
          <w:lang w:bidi="ar-SA"/>
        </w:rPr>
      </w:r>
      <w:r>
        <w:rPr>
          <w:rFonts w:ascii="Times New Roman" w:hAnsi="Times New Roman" w:eastAsia="Calibri" w:cs="Times New Roman"/>
          <w:b/>
          <w:sz w:val="28"/>
          <w:lang w:bidi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i/>
          <w:sz w:val="28"/>
          <w:lang w:bidi="ar-SA"/>
        </w:rPr>
      </w:pP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Перечень вопросов для подготовки к </w:t>
      </w: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итоговому экзамену</w:t>
      </w:r>
      <w:r/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 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по дисциплине «Общецерковная история»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Какие исторические факторы способствовали гонениям римских властей против христиан в 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I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— начале 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IV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вв.? Какие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внутрицерковные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конфликты были вызваны антихристианскими гонениями?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Какое место в жизни древнехристианских общин 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I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–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III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вв. занимало епископское служение (функции епископа, соотношение с другими служениями, пресвитеры, диаконы, раннехристианская община, богословское обоснование епископской власти в ранней патристике)?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 был вклад в развитие раннехристианской Церкви мужей апостольских и апологетов? Какие были основные богословские проблемы раннего христианства?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В чем заключаются основные специфические черты традиции Антиохийской школы? Какие из возникших в ее рамках идей вызвали богословскую полемику в Древней Церкви?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В чем заключаются основные специфические черты традиции Александрийской школы? Какие из возникших в ее рамках идей вызвали богословскую полемику в Древней Церкви?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 изменилось положение Церкви в Римской империи после обращения в христианскую веру св.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равноап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Константина Великого?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Какие формы монашества сформировались в Египте и Палестине в 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IV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в.?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Каковы исторические обстоятельства созыва Первого Вселенского Собора? Каковы его основные решения?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 Церковь боролась с ересями в период между I и II Вселенскими Соборами? В чём состоял вклад отцов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каппадокийцев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Каковы исторические обстоятельства созыва Второго Вселенского Собора? Каковы его основные решения?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Какие исторические факторы способствовали возвышению Римской Церкви?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Каковы исторические обстоятельства и богословская проблематика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пелагианских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споров?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Каковы исторические обстоятельства созыва Третьего Вселенского Собора? Каковы его основные решения? Как после Собора был разрешен несторианский спор?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Каковы исторические обстоятельства возникновения монофизитства и созыва Четвертого Вселенского Собора? Каковы основные соборные решения?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Каким образом византийские императоры второй половины 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V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— начала 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VI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вв. пытались преодолеть противостояние между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халкидонитами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и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монофизитами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 император Юстиниан Великий понимал соотношение светской и церковной власти? Каковы исторические обстоятельства созыва Пятого Вселенского Собора? Каковы его основные решения?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Какова была роль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свт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Софрония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Иерусалимского и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прп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Максима Исповедника в борьбе против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моноэнергизма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и монофелитства?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Каковы исторические обстоятельства созыва и основные решения Шестого Вселенского Собора? Каково значение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Пято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-Шестого (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Трулльского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) Собора для развития канонического права?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Какие исторические факторы способствовали возникновению и развитию иконоборческого движения в Византии? Какова роль императорской власти в этом процессе?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Каковы исторические обстоятельства созыва Седьмого Вселенского Собора? Каковы его основные решения? Как был окончательно преодолен иконоборческий кризис?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Какие исторические обстоятельства и богословские разногласия способствовали церковным конфликтам между византийским Востоком и латинским Западом и привели к Великому расколу?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Какие исторические факторы способствовали заключению Лионской и Флорентийской уний? Каким образом и почему они были отвергнуты Православной Церковью?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Каковы исторические обстоятельства и богословская проблематика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исихастских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споров?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 изменилась жизнь восточных патриархатов после арабских и турецких завоеваний?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3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Какие исторические обстоятельства способствовали возникновению новых автокефальных Церквей в 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XIX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–</w:t>
      </w:r>
      <w:r>
        <w:rPr>
          <w:rFonts w:ascii="Times New Roman" w:hAnsi="Times New Roman" w:eastAsia="Calibri" w:cs="Times New Roman"/>
          <w:color w:val="000000"/>
          <w:sz w:val="28"/>
          <w:lang w:val="en-US" w:bidi="ar-SA"/>
        </w:rPr>
        <w:t xml:space="preserve">XX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вв.?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i/>
          <w:sz w:val="28"/>
          <w:lang w:bidi="ar-SA"/>
        </w:rPr>
      </w:pP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Перечень вопросов для подготовки к </w:t>
      </w: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итоговому экзамену</w:t>
      </w:r>
      <w:r/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 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по дисциплине «История Русской Православной Церкви»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Христианство на Руси до св.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равноап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князя Владимира. Крещение Руси.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Устройство церковной жизни на Руси, её значение в политической, социальной и культурной жизни Руси X–XII вв.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Церковная жизнь в условиях монголо-татарского ига. Возрождение церковной жизни в период правления митр. Кирилла II. Причины и события переноса центра Русской митрополии в Москву.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Роль Православной Церкви в становлении централизованного Русского государства и освобождении из-под монголо-татарского ига. Деятельность в этом направлении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свтт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Петра, Алексия,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Киприана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Сергия Радонежского.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События об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ретения автокефалии Русской Церковью. Основания независимости Русской Церкви. Изменения в организации Русской Церкви после обретения автокефалии. Отношения с Православным востоком в период автокефалии. Деятельность святителя Ионы, митрополита Московского.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Богословские идеи и споры </w:t>
      </w:r>
      <w:r>
        <w:rPr>
          <w:rFonts w:ascii="Times New Roman" w:hAnsi="Times New Roman" w:eastAsia="Calibri" w:cs="Times New Roman"/>
          <w:sz w:val="28"/>
          <w:lang w:val="en-US" w:bidi="ar-SA"/>
        </w:rPr>
        <w:t xml:space="preserve">XV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–</w:t>
      </w:r>
      <w:r>
        <w:rPr>
          <w:rFonts w:ascii="Times New Roman" w:hAnsi="Times New Roman" w:eastAsia="Calibri" w:cs="Times New Roman"/>
          <w:sz w:val="28"/>
          <w:lang w:val="en-US" w:bidi="ar-SA"/>
        </w:rPr>
        <w:t xml:space="preserve">XVI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в. Происхождение и значение теории «Москва — Третий Рим». Споры иосифлян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нестяжателей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: аскетический и политический аспекты. Происхождение и вероучение ересей стригольников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жидовствующих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Борьба Церкви с ними.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Свт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Макарий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Московский во главе Русской Церкви.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Канонизационные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соборы. Стоглавый Собор. Взятие Казани и просветительская деятельность Русской Церкви в Поволжье.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Свт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Филипп: сопротивление Церкви опричнине царя Ивана IV.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События установления Патриаршества в Русской Церкви. Основания для установления Патриаршества в Русской Церкви. Изменения в организации Русской Церкви после установления Патриаршества. Патриархи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свт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Иов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сщмч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Ермоген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в сопротивлении смуте. Казанская икона Божией Матери: история происхождения и значение в преодолении смуты.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Патр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Филарет (Романов), его государственная и церковная деятельность. Отношения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патр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Никона и царя Алексея Михайловича. Богослужебная реформа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патр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Никона и возникновение старообрядческого раскола. Большой Московский Собор 1666–1667 гг.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Причины проведения церковной реформы Петра I. «Духовный регламент» и устройство Русской Церкви согласно его определениям.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Отношение правителей Российской империи к Церкви во второй половине XVIII в.: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имп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Елизавета Петровна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имп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Екатерина II. Сопротивление церковных иерархов секуляризации.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Отношение правителей Российской империи к Церкви в 1796–1855 гг. Вклад Русской Церкви в победу над Наполеоном. Борьба Православной Церкви с мистицизмом в эпоху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имп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Александра I. Деятельность обер-прокуроров князя Голицына и Н.А. Протасова.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Отношение правителей Российской империи к Церкви в 1855–1917 гг. Роль обер-прокурора К.П. Победоносцева в истории Русской Церкви. События в церковной жизни периода правления св.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имп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Николая II.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Этапы подготовки Поместного Собора. Поместный Собор Православной Российской Церкви 1917–1918 гг.: принцип работы и основные решения. Возрождение Патриаршества и избрание Патриарха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свт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Тихона (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Беллавина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Декреты советской власти, направленные против Церкви. Позиция Церкви в гражданской войне. Первые мученики ХХ в. Кампания по вскрытию святых мощей. Кампания по изъятию церковных ценностей.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Обновленчество и другие расколы как способ борьбы советской власти с Церковью. Сопротивление Церкви расколам. Содержание и значение «Декларации» 1927 г.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Гонения на Церковь в период коллективизации и «большого террора». Православные мученики этого периода.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Иосифлянское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разделение и появление катакомбных общин.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Состояние Русской Церкви накан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уне Великой Отечественной войны. Патриотическая деятельность Церкви в период войны. Изменение церковно-государственных отношений в 1943 г. Возрождение Церкви в период «нового курса» церковно-государственных отношений. Церковь на оккупированных территориях.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Хрущёвская антирелигиозная кампания и сопротивление ей Русской Церкви. Особенности церковной жизни при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патр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Алексие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 </w:t>
      </w:r>
      <w:r>
        <w:rPr>
          <w:rFonts w:ascii="Times New Roman" w:hAnsi="Times New Roman" w:eastAsia="Calibri" w:cs="Times New Roman"/>
          <w:sz w:val="28"/>
          <w:lang w:val="en-US" w:bidi="ar-SA"/>
        </w:rPr>
        <w:t xml:space="preserve">I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Изменения отношения государства к Церкви в период Перестройки.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Тысячелетие Крещения Руси и возрождение Русской Церкви после распада СССР. Избрание и деятельность Патриарха Алексия II. Церковный раскол на Украине. Русская Церковь под управлением Патриарха Кирилла. Отстаивание Русской Церковью принципов православной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экклезиологии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на современном этапе.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Основание русского монашества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прпп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Антонием и Феодосием Киево-Печерскими. Возрождение монашества в XIV в.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Сергием Радонежским. Возрождение монашества в XIХ в. и деятельность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Паисия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Величковского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Славяно-Греко-Латинская академия в Москве и начало духовного образования в России. Становление духовного образования в XVIII в. Реформы, проблемы и достижения духовного образования в XIX в.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Свт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 Филарет и перевод Библии. Гибель и возрождение духовного образования в ХХ в.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Разделение Русской митрополии в XV в. Юго-западная митрополия. Притеснение Православия в Польско-Литовском государстве. События воссоединения Киевской митрополии с Русской Церковью. Церковные разделения на Украине в </w:t>
      </w:r>
      <w:r>
        <w:rPr>
          <w:rFonts w:ascii="Times New Roman" w:hAnsi="Times New Roman" w:eastAsia="Calibri" w:cs="Times New Roman"/>
          <w:sz w:val="28"/>
          <w:lang w:val="en-US" w:bidi="ar-SA"/>
        </w:rPr>
        <w:t xml:space="preserve">XX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–</w:t>
      </w:r>
      <w:r>
        <w:rPr>
          <w:rFonts w:ascii="Times New Roman" w:hAnsi="Times New Roman" w:eastAsia="Calibri" w:cs="Times New Roman"/>
          <w:sz w:val="28"/>
          <w:lang w:val="en-US" w:bidi="ar-SA"/>
        </w:rPr>
        <w:t xml:space="preserve">XXI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Распространение Христианства на Руси в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домонгольский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период. Проповедническая деятельность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свт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Стефана Пермского. Проповедь Православия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Макарием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(Глухаревым),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свт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Иннокентием (Вениаминовым), св.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равноап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 Николаем (Касаткиным).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4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Создание русского церковного управления за границей и разделение в среде русской церковной эмиграции. Основные события из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истории Русской Православной Церкви за границей, Западноевропейского экзархата русских приходов, Православной Церкви в Америке.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b/>
          <w:sz w:val="28"/>
          <w:lang w:bidi="ar-SA"/>
        </w:rPr>
      </w:pPr>
      <w:r>
        <w:rPr>
          <w:rFonts w:ascii="Times New Roman" w:hAnsi="Times New Roman" w:eastAsia="Calibri" w:cs="Times New Roman"/>
          <w:b/>
          <w:sz w:val="28"/>
          <w:lang w:bidi="ar-SA"/>
        </w:rPr>
      </w:r>
      <w:r>
        <w:rPr>
          <w:rFonts w:ascii="Times New Roman" w:hAnsi="Times New Roman" w:eastAsia="Calibri" w:cs="Times New Roman"/>
          <w:b/>
          <w:sz w:val="28"/>
          <w:lang w:bidi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i/>
          <w:sz w:val="28"/>
          <w:lang w:bidi="ar-SA"/>
        </w:rPr>
      </w:pP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Перечень вопросов для подготовки к </w:t>
      </w:r>
      <w:r>
        <w:rPr>
          <w:rFonts w:ascii="Times New Roman" w:hAnsi="Times New Roman" w:eastAsia="Calibri" w:cs="Arial"/>
          <w:b/>
          <w:bCs/>
          <w:i/>
          <w:sz w:val="28"/>
          <w:lang w:bidi="ar-SA"/>
        </w:rPr>
        <w:t xml:space="preserve">итоговому экзамену</w:t>
      </w:r>
      <w:r/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 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по дисциплине «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Литургика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  <w:t xml:space="preserve">»</w:t>
      </w:r>
      <w:r>
        <w:rPr>
          <w:rFonts w:ascii="Times New Roman" w:hAnsi="Times New Roman" w:eastAsia="Calibri" w:cs="Times New Roman"/>
          <w:b/>
          <w:i/>
          <w:sz w:val="28"/>
          <w:lang w:bidi="ar-SA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i/>
          <w:sz w:val="28"/>
          <w:u w:val="single"/>
          <w:lang w:bidi="ar-SA"/>
        </w:rPr>
      </w:pPr>
      <w:r>
        <w:rPr>
          <w:rFonts w:ascii="Times New Roman" w:hAnsi="Times New Roman" w:eastAsia="Calibri" w:cs="Times New Roman"/>
          <w:i/>
          <w:sz w:val="28"/>
          <w:u w:val="single"/>
          <w:lang w:bidi="ar-SA"/>
        </w:rPr>
        <w:t xml:space="preserve">Практическая часть</w:t>
      </w:r>
      <w:r>
        <w:rPr>
          <w:rFonts w:ascii="Times New Roman" w:hAnsi="Times New Roman" w:eastAsia="Calibri" w:cs="Times New Roman"/>
          <w:i/>
          <w:sz w:val="28"/>
          <w:u w:val="single"/>
          <w:lang w:bidi="ar-S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lang w:bidi="ar-SA"/>
        </w:rPr>
      </w:pPr>
      <w:r>
        <w:rPr>
          <w:rFonts w:ascii="Times New Roman" w:hAnsi="Times New Roman" w:eastAsia="Calibri" w:cs="Times New Roman"/>
          <w:bCs/>
          <w:sz w:val="28"/>
          <w:lang w:bidi="ar-SA"/>
        </w:rPr>
        <w:t xml:space="preserve">Составьте, используя богослужебные книги, подробное </w:t>
      </w:r>
      <w:r>
        <w:rPr>
          <w:rFonts w:ascii="Times New Roman" w:hAnsi="Times New Roman" w:eastAsia="Calibri" w:cs="Times New Roman"/>
          <w:bCs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bCs/>
          <w:sz w:val="28"/>
          <w:lang w:bidi="ar-SA"/>
        </w:rPr>
        <w:t xml:space="preserve"> с указанием неизменяемых и изменяемых частей служб (вечерня, утреня, часы) соответствующее одному из указанных типов регулярного общественного богослужения. </w:t>
      </w:r>
      <w:r>
        <w:rPr>
          <w:rFonts w:ascii="Times New Roman" w:hAnsi="Times New Roman" w:eastAsia="Calibri" w:cs="Times New Roman"/>
          <w:bCs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/>
      <w:bookmarkStart w:id="0" w:name="_Hlk41400228"/>
      <w:r/>
      <w:bookmarkStart w:id="1" w:name="_Hlk41400967"/>
      <w:r/>
      <w:bookmarkStart w:id="2" w:name="_GoBack"/>
      <w:r/>
      <w:bookmarkEnd w:id="0"/>
      <w:r/>
      <w:bookmarkEnd w:id="1"/>
      <w:r/>
      <w:bookmarkEnd w:id="2"/>
      <w:r>
        <w:rPr>
          <w:rFonts w:ascii="Times New Roman" w:hAnsi="Times New Roman" w:eastAsia="Calibri" w:cs="Times New Roman"/>
          <w:sz w:val="28"/>
          <w:lang w:bidi="ar-SA"/>
        </w:rPr>
        <w:t xml:space="preserve">Б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огослужения седмичные и субботние периода пения Октоиха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(условия совершения богослужения на выбор комиссии: день недели, глас, празднуемый святой, святой храма)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Воскресное богослужение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: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порядок всенощного бдения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(условия совершения богослужения на выбор комиссии: период (Октоих/Постная Триодь/Цветная Триодь), глас, празднуемый святой, святой храма)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Богослужение двунадесятых /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великих праздников: всенощное бдение и особенности Литургии </w:t>
      </w:r>
      <w:r>
        <w:rPr>
          <w:rFonts w:ascii="Times New Roman" w:hAnsi="Times New Roman" w:eastAsia="Calibri" w:cs="Times New Roman"/>
          <w:i/>
          <w:color w:val="000000"/>
          <w:sz w:val="28"/>
          <w:lang w:bidi="ar-SA"/>
        </w:rPr>
        <w:t xml:space="preserve">(один из праздников кроме Рождества Христова, Богоявления и Благовещения,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условия совершения богослужения на выбор комиссии: день недели, глас</w:t>
      </w:r>
      <w:r>
        <w:rPr>
          <w:rFonts w:ascii="Times New Roman" w:hAnsi="Times New Roman" w:eastAsia="Calibri" w:cs="Times New Roman"/>
          <w:i/>
          <w:color w:val="000000"/>
          <w:sz w:val="28"/>
          <w:lang w:bidi="ar-SA"/>
        </w:rPr>
        <w:t xml:space="preserve">)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Богослужение дней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предпразднств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попразднств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великих двунадесятых праздников («на 6», «с великим славословием», «с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полиелеем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»)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(один из дней на выбор комиссии)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огослужение седмичных и субботних дней Великого поста (вседневное, «с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полиелеем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»)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(один из дней на выбор комиссии)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Богослужение Страстной/Светлой седмицы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(один из дней на выбор комиссии)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Богослужение храмового праздника (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святой и день недели на выбор комиссии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).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Богослужение Рождества Христова, Богоявления, Благовещения Пресвятой Богородицы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</w:t>
      </w:r>
      <w:r>
        <w:rPr>
          <w:rFonts w:ascii="Times New Roman" w:hAnsi="Times New Roman" w:eastAsia="Calibri" w:cs="Times New Roman"/>
          <w:i/>
          <w:color w:val="000000"/>
          <w:sz w:val="28"/>
          <w:lang w:bidi="ar-SA"/>
        </w:rPr>
        <w:t xml:space="preserve">(один из праздников на выбор комиссии)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Б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огослужение седмичных и субботних дней в период пения Триоди цветной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(один из дней периода и память святого на выбор комиссии)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Субботнее заупокойное богослужение литургического года </w:t>
      </w:r>
      <w:r>
        <w:rPr>
          <w:rFonts w:ascii="Times New Roman" w:hAnsi="Times New Roman" w:eastAsia="Calibri" w:cs="Times New Roman"/>
          <w:i/>
          <w:sz w:val="28"/>
          <w:lang w:bidi="ar-SA"/>
        </w:rPr>
        <w:t xml:space="preserve">(один из дней на выбор комиссии)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Проскомидия: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, содержание молитв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толкование чина. Условия для совершения Литургии (время, место и вещества). </w:t>
      </w:r>
      <w:r>
        <w:rPr>
          <w:rFonts w:ascii="Times New Roman" w:hAnsi="Times New Roman" w:eastAsia="Calibri" w:cs="Times New Roman"/>
          <w:bCs/>
          <w:sz w:val="28"/>
          <w:lang w:bidi="ar-SA"/>
        </w:rPr>
        <w:t xml:space="preserve">Расскажите порядок совершения и поясните смысл, в святоотеческом толковании и историческом контексте.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Литургии оглашенных: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, содержание молитв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толкование чина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bCs/>
          <w:sz w:val="28"/>
          <w:lang w:bidi="ar-SA"/>
        </w:rPr>
        <w:t xml:space="preserve">Расскажите порядок совершения и поясните смысл, в святоотеческом толковании и историческом контексте.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Calibri" w:cs="Times New Roman"/>
          <w:color w:val="000000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Анафора —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евхаристическая молитва: структура, содержание, толкование текста. </w:t>
      </w:r>
      <w:r>
        <w:rPr>
          <w:rFonts w:ascii="Times New Roman" w:hAnsi="Times New Roman" w:eastAsia="Calibri" w:cs="Times New Roman"/>
          <w:bCs/>
          <w:sz w:val="28"/>
          <w:lang w:bidi="ar-SA"/>
        </w:rPr>
        <w:t xml:space="preserve">Расскажите порядок совершения и поясните смысл, в святоотеческом толковании и историческом контексте.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Литургия верных: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, содержание молитв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толкование чина. </w:t>
      </w:r>
      <w:r>
        <w:rPr>
          <w:rFonts w:ascii="Times New Roman" w:hAnsi="Times New Roman" w:eastAsia="Calibri" w:cs="Times New Roman"/>
          <w:bCs/>
          <w:sz w:val="28"/>
          <w:lang w:bidi="ar-SA"/>
        </w:rPr>
        <w:t xml:space="preserve">Расскажите порядок совершения и поясните смысл, в святоотеческом толковании и историческом контексте.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Литургия Преждеосвященных Даров: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, содержание молитв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толкование чина. </w:t>
      </w:r>
      <w:r>
        <w:rPr>
          <w:rFonts w:ascii="Times New Roman" w:hAnsi="Times New Roman" w:eastAsia="Calibri" w:cs="Times New Roman"/>
          <w:bCs/>
          <w:sz w:val="28"/>
          <w:lang w:bidi="ar-SA"/>
        </w:rPr>
        <w:t xml:space="preserve">Расскажите порядок совершения и поясните смысл, в святоотеческом толковании и историческом контексте.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8"/>
          <w:u w:val="single"/>
          <w:lang w:bidi="ar-SA"/>
        </w:rPr>
      </w:pPr>
      <w:r>
        <w:rPr>
          <w:rFonts w:ascii="Times New Roman" w:hAnsi="Times New Roman" w:eastAsia="Calibri" w:cs="Times New Roman"/>
          <w:i/>
          <w:sz w:val="28"/>
          <w:u w:val="single"/>
          <w:lang w:bidi="ar-SA"/>
        </w:rPr>
      </w:r>
      <w:r>
        <w:rPr>
          <w:rFonts w:ascii="Times New Roman" w:hAnsi="Times New Roman" w:eastAsia="Calibri" w:cs="Times New Roman"/>
          <w:i/>
          <w:sz w:val="28"/>
          <w:u w:val="single"/>
          <w:lang w:bidi="ar-SA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i/>
          <w:sz w:val="28"/>
          <w:u w:val="single"/>
          <w:lang w:bidi="ar-SA"/>
        </w:rPr>
      </w:pPr>
      <w:r>
        <w:rPr>
          <w:rFonts w:ascii="Times New Roman" w:hAnsi="Times New Roman" w:eastAsia="Calibri" w:cs="Times New Roman"/>
          <w:i/>
          <w:sz w:val="28"/>
          <w:u w:val="single"/>
          <w:lang w:bidi="ar-SA"/>
        </w:rPr>
        <w:t xml:space="preserve">Теоретическая часть</w:t>
      </w:r>
      <w:r>
        <w:rPr>
          <w:rFonts w:ascii="Times New Roman" w:hAnsi="Times New Roman" w:eastAsia="Calibri" w:cs="Times New Roman"/>
          <w:i/>
          <w:sz w:val="28"/>
          <w:u w:val="single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Таинства Крещения и Миропомазания: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, содержание молитв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толкование чина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Таинство Брака: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последования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 Обручения, Венчания, о двоебрачных. Содержание молитв,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толкование чинов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Канонические препятствия к Браку.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Таинство Покаяния: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, содержание молитв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толкование чина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Присоединение к Церкви: виды чинов и порядок.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Таинство Елеосвящения: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содержание молитв, толкование чина.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Таинство Священства: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последование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хиротоний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хиротесий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,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содержание молитв,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толкование чинов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Канонические препятствия к Священству. 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Чины освящения церковной утвари, прочих предметов и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молебные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 пения: виды и их особенности.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numPr>
          <w:ilvl w:val="0"/>
          <w:numId w:val="6"/>
        </w:numPr>
        <w:pBdr/>
        <w:spacing w:after="0" w:line="240" w:lineRule="auto"/>
        <w:ind w:firstLine="709" w:left="0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Погребение усопших: виды и порядок 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последований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, содержание молитв, </w:t>
      </w:r>
      <w:r>
        <w:rPr>
          <w:rFonts w:ascii="Times New Roman" w:hAnsi="Times New Roman" w:eastAsia="Calibri" w:cs="Times New Roman"/>
          <w:sz w:val="28"/>
          <w:lang w:bidi="ar-SA"/>
        </w:rPr>
        <w:t xml:space="preserve">толкование чинов</w:t>
      </w:r>
      <w:r>
        <w:rPr>
          <w:rFonts w:ascii="Times New Roman" w:hAnsi="Times New Roman" w:eastAsia="Calibri" w:cs="Times New Roman"/>
          <w:color w:val="000000"/>
          <w:sz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23.</w:t>
      </w:r>
      <w:r>
        <w:rPr>
          <w:rFonts w:ascii="Times New Roman" w:hAnsi="Times New Roman" w:eastAsia="Calibri" w:cs="Times New Roman"/>
          <w:sz w:val="28"/>
          <w:lang w:bidi="ar-SA"/>
        </w:rPr>
        <w:tab/>
        <w:t xml:space="preserve">Литургическая традиция Иерусалима: этапы развития и их особенности.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24.</w:t>
      </w:r>
      <w:r>
        <w:rPr>
          <w:rFonts w:ascii="Times New Roman" w:hAnsi="Times New Roman" w:eastAsia="Calibri" w:cs="Times New Roman"/>
          <w:sz w:val="28"/>
          <w:lang w:bidi="ar-SA"/>
        </w:rPr>
        <w:tab/>
        <w:t xml:space="preserve">Литургическая традиция Константинополя: этапы развития и их особенности.</w:t>
      </w:r>
      <w:r>
        <w:rPr>
          <w:rFonts w:ascii="Times New Roman" w:hAnsi="Times New Roman" w:eastAsia="Calibri" w:cs="Times New Roman"/>
          <w:sz w:val="28"/>
          <w:lang w:bidi="ar-S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hd w:val="clear" w:color="auto" w:fill="ffff00"/>
          <w:lang w:bidi="ar-SA"/>
        </w:rPr>
      </w:pPr>
      <w:r>
        <w:rPr>
          <w:rFonts w:ascii="Times New Roman" w:hAnsi="Times New Roman" w:eastAsia="Calibri" w:cs="Times New Roman"/>
          <w:sz w:val="28"/>
          <w:lang w:bidi="ar-SA"/>
        </w:rPr>
        <w:t xml:space="preserve">25.</w:t>
      </w:r>
      <w:r>
        <w:rPr>
          <w:rFonts w:ascii="Times New Roman" w:hAnsi="Times New Roman" w:eastAsia="Calibri" w:cs="Times New Roman"/>
          <w:sz w:val="28"/>
          <w:lang w:bidi="ar-SA"/>
        </w:rPr>
        <w:tab/>
        <w:t xml:space="preserve">Богослужение Русской Церкви: этапы развития и их особенности.</w:t>
      </w:r>
      <w:r>
        <w:rPr>
          <w:rFonts w:ascii="Times New Roman" w:hAnsi="Times New Roman" w:eastAsia="Calibri" w:cs="Times New Roman"/>
          <w:sz w:val="28"/>
          <w:shd w:val="clear" w:color="auto" w:fill="ffff00"/>
          <w:lang w:bidi="ar-SA"/>
        </w:rPr>
      </w:r>
    </w:p>
    <w:p>
      <w:pPr>
        <w:pBdr/>
        <w:spacing w:after="0" w:line="240" w:lineRule="auto"/>
        <w:ind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1134" w:right="851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F6E4EC8">
    <w:pPr>
      <w:pStyle w:val="17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5D9F0AD7">
    <w:pPr>
      <w:pStyle w:val="178"/>
      <w:pBdr/>
      <w:spacing/>
      <w:ind/>
      <w:rPr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D6A81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nsid w:val="2EBD4EFC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3F5439A0"/>
    <w:lvl w:ilvl="0">
      <w:isLgl w:val="false"/>
      <w:lvlJc w:val="left"/>
      <w:lvlText w:val="%1."/>
      <w:numFmt w:val="decimal"/>
      <w:pPr>
        <w:pBdr/>
        <w:spacing/>
        <w:ind w:hanging="180" w:left="57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4ED626B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60A03655"/>
    <w:lvl w:ilvl="0">
      <w:isLgl w:val="false"/>
      <w:lvlJc w:val="left"/>
      <w:lvlText w:val="%1."/>
      <w:numFmt w:val="decimal"/>
      <w:pPr>
        <w:pBdr/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5">
    <w:nsid w:val="76B1243E"/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8"/>
        <w:lang w:val="ru-RU" w:eastAsia="en-US" w:bidi="th-TH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6"/>
    <w:next w:val="67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6"/>
    <w:next w:val="67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6"/>
    <w:next w:val="67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6"/>
    <w:next w:val="67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6"/>
    <w:next w:val="67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6"/>
    <w:next w:val="67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6"/>
    <w:next w:val="67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6"/>
    <w:next w:val="67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6"/>
    <w:next w:val="67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6"/>
    <w:next w:val="67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6"/>
    <w:next w:val="67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6"/>
    <w:next w:val="67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6"/>
    <w:next w:val="67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7"/>
    <w:link w:val="176"/>
    <w:uiPriority w:val="99"/>
    <w:pPr>
      <w:pBdr/>
      <w:spacing/>
      <w:ind/>
    </w:pPr>
  </w:style>
  <w:style w:type="paragraph" w:styleId="178">
    <w:name w:val="Footer"/>
    <w:basedOn w:val="67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7"/>
    <w:link w:val="178"/>
    <w:uiPriority w:val="99"/>
    <w:pPr>
      <w:pBdr/>
      <w:spacing/>
      <w:ind/>
    </w:pPr>
  </w:style>
  <w:style w:type="paragraph" w:styleId="180">
    <w:name w:val="Caption"/>
    <w:basedOn w:val="676"/>
    <w:next w:val="6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6"/>
    <w:next w:val="676"/>
    <w:uiPriority w:val="39"/>
    <w:unhideWhenUsed/>
    <w:pPr>
      <w:pBdr/>
      <w:spacing w:after="100"/>
      <w:ind/>
    </w:pPr>
  </w:style>
  <w:style w:type="paragraph" w:styleId="190">
    <w:name w:val="toc 2"/>
    <w:basedOn w:val="676"/>
    <w:next w:val="676"/>
    <w:uiPriority w:val="39"/>
    <w:unhideWhenUsed/>
    <w:pPr>
      <w:pBdr/>
      <w:spacing w:after="100"/>
      <w:ind w:left="220"/>
    </w:pPr>
  </w:style>
  <w:style w:type="paragraph" w:styleId="191">
    <w:name w:val="toc 3"/>
    <w:basedOn w:val="676"/>
    <w:next w:val="676"/>
    <w:uiPriority w:val="39"/>
    <w:unhideWhenUsed/>
    <w:pPr>
      <w:pBdr/>
      <w:spacing w:after="100"/>
      <w:ind w:left="440"/>
    </w:pPr>
  </w:style>
  <w:style w:type="paragraph" w:styleId="192">
    <w:name w:val="toc 4"/>
    <w:basedOn w:val="676"/>
    <w:next w:val="676"/>
    <w:uiPriority w:val="39"/>
    <w:unhideWhenUsed/>
    <w:pPr>
      <w:pBdr/>
      <w:spacing w:after="100"/>
      <w:ind w:left="660"/>
    </w:pPr>
  </w:style>
  <w:style w:type="paragraph" w:styleId="193">
    <w:name w:val="toc 5"/>
    <w:basedOn w:val="676"/>
    <w:next w:val="676"/>
    <w:uiPriority w:val="39"/>
    <w:unhideWhenUsed/>
    <w:pPr>
      <w:pBdr/>
      <w:spacing w:after="100"/>
      <w:ind w:left="880"/>
    </w:pPr>
  </w:style>
  <w:style w:type="paragraph" w:styleId="194">
    <w:name w:val="toc 6"/>
    <w:basedOn w:val="676"/>
    <w:next w:val="676"/>
    <w:uiPriority w:val="39"/>
    <w:unhideWhenUsed/>
    <w:pPr>
      <w:pBdr/>
      <w:spacing w:after="100"/>
      <w:ind w:left="1100"/>
    </w:pPr>
  </w:style>
  <w:style w:type="paragraph" w:styleId="195">
    <w:name w:val="toc 7"/>
    <w:basedOn w:val="676"/>
    <w:next w:val="676"/>
    <w:uiPriority w:val="39"/>
    <w:unhideWhenUsed/>
    <w:pPr>
      <w:pBdr/>
      <w:spacing w:after="100"/>
      <w:ind w:left="1320"/>
    </w:pPr>
  </w:style>
  <w:style w:type="paragraph" w:styleId="196">
    <w:name w:val="toc 8"/>
    <w:basedOn w:val="676"/>
    <w:next w:val="676"/>
    <w:uiPriority w:val="39"/>
    <w:unhideWhenUsed/>
    <w:pPr>
      <w:pBdr/>
      <w:spacing w:after="100"/>
      <w:ind w:left="1540"/>
    </w:pPr>
  </w:style>
  <w:style w:type="paragraph" w:styleId="197">
    <w:name w:val="toc 9"/>
    <w:basedOn w:val="676"/>
    <w:next w:val="67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6"/>
    <w:next w:val="676"/>
    <w:uiPriority w:val="99"/>
    <w:unhideWhenUsed/>
    <w:pPr>
      <w:pBdr/>
      <w:spacing w:after="0" w:afterAutospacing="0"/>
      <w:ind/>
    </w:pPr>
  </w:style>
  <w:style w:type="paragraph" w:styleId="676" w:default="1">
    <w:name w:val="Normal"/>
    <w:qFormat/>
    <w:pPr>
      <w:pBdr/>
      <w:spacing/>
      <w:ind/>
    </w:p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Frolova</dc:creator>
  <cp:keywords/>
  <dc:description/>
  <cp:revision>2</cp:revision>
  <dcterms:created xsi:type="dcterms:W3CDTF">2026-04-23T05:41:00Z</dcterms:created>
  <dcterms:modified xsi:type="dcterms:W3CDTF">2026-04-28T05:53:08Z</dcterms:modified>
</cp:coreProperties>
</file>