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CF4C81">
        <w:rPr>
          <w:rFonts w:eastAsia="Times New Roman" w:cstheme="minorHAnsi"/>
          <w:sz w:val="24"/>
          <w:szCs w:val="24"/>
        </w:rPr>
        <w:t xml:space="preserve"> № 2</w:t>
      </w:r>
      <w:r w:rsidR="002D3861">
        <w:rPr>
          <w:rFonts w:eastAsia="Times New Roman" w:cstheme="minorHAnsi"/>
          <w:sz w:val="24"/>
          <w:szCs w:val="24"/>
        </w:rPr>
        <w:t xml:space="preserve"> (99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 w:rsidR="002D3861">
        <w:rPr>
          <w:rFonts w:eastAsia="Times New Roman" w:cstheme="minorHAnsi"/>
          <w:sz w:val="24"/>
          <w:szCs w:val="24"/>
        </w:rPr>
        <w:t>22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Патриарх Московский и всея Руси Кирилл.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861" w:rsidRPr="002D3861" w:rsidRDefault="002D3861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D3861">
        <w:rPr>
          <w:rStyle w:val="markedcontent"/>
          <w:rFonts w:ascii="Times New Roman" w:hAnsi="Times New Roman" w:cs="Times New Roman"/>
          <w:sz w:val="24"/>
          <w:szCs w:val="24"/>
        </w:rPr>
        <w:t xml:space="preserve">О религиозной культуре и </w:t>
      </w:r>
      <w:proofErr w:type="spellStart"/>
      <w:r w:rsidRPr="002D3861">
        <w:rPr>
          <w:rStyle w:val="markedcontent"/>
          <w:rFonts w:ascii="Times New Roman" w:hAnsi="Times New Roman" w:cs="Times New Roman"/>
          <w:sz w:val="24"/>
          <w:szCs w:val="24"/>
        </w:rPr>
        <w:t>секуляризме</w:t>
      </w:r>
      <w:proofErr w:type="spellEnd"/>
      <w:r w:rsidRPr="002D3861">
        <w:rPr>
          <w:rStyle w:val="markedcontent"/>
          <w:rFonts w:ascii="Times New Roman" w:hAnsi="Times New Roman" w:cs="Times New Roman"/>
          <w:sz w:val="24"/>
          <w:szCs w:val="24"/>
        </w:rPr>
        <w:t xml:space="preserve"> через призму Петровских реформ.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3861">
        <w:rPr>
          <w:rFonts w:ascii="Times New Roman" w:hAnsi="Times New Roman" w:cs="Times New Roman"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861" w:rsidRPr="002D3861" w:rsidRDefault="002D3861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Вклад Святейшего Патриарха Кирилла в укрепление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межправославного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единства.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C23A94" w:rsidRDefault="00880CBD" w:rsidP="002D386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2D3861">
        <w:rPr>
          <w:rStyle w:val="markedcontent"/>
          <w:rFonts w:ascii="Times New Roman" w:hAnsi="Times New Roman" w:cs="Times New Roman"/>
          <w:b/>
          <w:sz w:val="24"/>
          <w:szCs w:val="24"/>
        </w:rPr>
        <w:t>В.В. Ершов.  Религиозный фактор американской государственности</w:t>
      </w:r>
    </w:p>
    <w:p w:rsidR="002D3861" w:rsidRPr="00BA7BF2" w:rsidRDefault="00D8778A" w:rsidP="002D386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F46D9">
        <w:rPr>
          <w:rStyle w:val="markedcontent"/>
          <w:rFonts w:ascii="Times New Roman" w:hAnsi="Times New Roman" w:cs="Times New Roman"/>
          <w:sz w:val="24"/>
          <w:szCs w:val="24"/>
        </w:rPr>
        <w:t>В статье рассматривается влияние</w:t>
      </w:r>
      <w:r w:rsidR="00FF46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религиозного фактора на формирование американского государства. История США берет своё начало с поселений представителей </w:t>
      </w:r>
      <w:proofErr w:type="spellStart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>протестанских</w:t>
      </w:r>
      <w:proofErr w:type="spellEnd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 сект, которые были вынуждены эмигрировать из Европы в середине</w:t>
      </w:r>
      <w:r w:rsidR="00BA7BF2" w:rsidRP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BF2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XVII</w:t>
      </w:r>
      <w:r w:rsidR="00BA7BF2" w:rsidRP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 в. </w:t>
      </w:r>
      <w:r w:rsid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Именно эти общины принесли с собой идеи религиозной исключительности, </w:t>
      </w:r>
      <w:proofErr w:type="spellStart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>мессионизма</w:t>
      </w:r>
      <w:proofErr w:type="spellEnd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 и государственности на основе </w:t>
      </w:r>
      <w:proofErr w:type="spellStart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>протестанских</w:t>
      </w:r>
      <w:proofErr w:type="spellEnd"/>
      <w:r w:rsid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 традиций.</w:t>
      </w:r>
    </w:p>
    <w:p w:rsidR="00FF46D9" w:rsidRPr="00FF46D9" w:rsidRDefault="00FF46D9" w:rsidP="002D386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3861" w:rsidRDefault="002D3861" w:rsidP="002D38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БОГОСЛОВИЕ</w:t>
      </w:r>
    </w:p>
    <w:p w:rsidR="002D3861" w:rsidRDefault="002D3861" w:rsidP="002D38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D3861" w:rsidRDefault="002D3861" w:rsidP="002D386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Зинковский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). Христианское исцеление произволения и воли в контексте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ипостасно-природно-</w:t>
      </w:r>
      <w:r w:rsidR="00825C33">
        <w:rPr>
          <w:rStyle w:val="markedcontent"/>
          <w:rFonts w:ascii="Times New Roman" w:hAnsi="Times New Roman" w:cs="Times New Roman"/>
          <w:b/>
          <w:sz w:val="24"/>
          <w:szCs w:val="24"/>
        </w:rPr>
        <w:t>энергийной</w:t>
      </w:r>
      <w:proofErr w:type="spellEnd"/>
      <w:r w:rsid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онтологии</w:t>
      </w:r>
    </w:p>
    <w:p w:rsidR="00BA7BF2" w:rsidRPr="00BA7BF2" w:rsidRDefault="00BA7BF2" w:rsidP="002D386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7BF2">
        <w:rPr>
          <w:rStyle w:val="markedcontent"/>
          <w:rFonts w:ascii="Times New Roman" w:hAnsi="Times New Roman" w:cs="Times New Roman"/>
          <w:sz w:val="24"/>
          <w:szCs w:val="24"/>
        </w:rPr>
        <w:t>Статья посвящен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 одной из актуальных тем антроп</w:t>
      </w:r>
      <w:r w:rsidRPr="00BA7BF2">
        <w:rPr>
          <w:rStyle w:val="markedcontent"/>
          <w:rFonts w:ascii="Times New Roman" w:hAnsi="Times New Roman" w:cs="Times New Roman"/>
          <w:sz w:val="24"/>
          <w:szCs w:val="24"/>
        </w:rPr>
        <w:t xml:space="preserve">ологии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– </w:t>
      </w:r>
      <w:r w:rsidRPr="00BA7BF2">
        <w:rPr>
          <w:rStyle w:val="markedcontent"/>
          <w:rFonts w:ascii="Times New Roman" w:hAnsi="Times New Roman" w:cs="Times New Roman"/>
          <w:sz w:val="24"/>
          <w:szCs w:val="24"/>
        </w:rPr>
        <w:t>теме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исцеления поврежденных произволения, намерений и всей природной воли человека</w:t>
      </w:r>
      <w:r w:rsidR="00DC50C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25C33" w:rsidRDefault="00825C33" w:rsidP="002D386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Игумен Трифон (Михайловский).  Передача оккультной традиции в китайских школах боевых </w:t>
      </w:r>
      <w:r w:rsidR="00DC50CF">
        <w:rPr>
          <w:rStyle w:val="markedcontent"/>
          <w:rFonts w:ascii="Times New Roman" w:hAnsi="Times New Roman" w:cs="Times New Roman"/>
          <w:b/>
          <w:sz w:val="24"/>
          <w:szCs w:val="24"/>
        </w:rPr>
        <w:t>искусств</w:t>
      </w:r>
    </w:p>
    <w:p w:rsidR="00DC50CF" w:rsidRPr="00DC50CF" w:rsidRDefault="00DC50CF" w:rsidP="002D386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рассматривается оккультная природа китайских школ боевых искусств и роль учителя – мастера ушу в передаче традиций 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чжень-чуань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«передача истины») от учителя к ученику.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AA3C66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Сильверст</w:t>
      </w:r>
      <w:proofErr w:type="spellEnd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Стойчев</w:t>
      </w:r>
      <w:proofErr w:type="spellEnd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).</w:t>
      </w:r>
      <w:r w:rsid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Был ли святитель </w:t>
      </w:r>
      <w:proofErr w:type="spellStart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Мелетий</w:t>
      </w:r>
      <w:proofErr w:type="spellEnd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Антиох</w:t>
      </w:r>
      <w:r w:rsidR="00DC50CF">
        <w:rPr>
          <w:rStyle w:val="markedcontent"/>
          <w:rFonts w:ascii="Times New Roman" w:hAnsi="Times New Roman" w:cs="Times New Roman"/>
          <w:b/>
          <w:sz w:val="24"/>
          <w:szCs w:val="24"/>
        </w:rPr>
        <w:t>ий</w:t>
      </w:r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рукоположен </w:t>
      </w:r>
      <w:proofErr w:type="spellStart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арианами</w:t>
      </w:r>
      <w:proofErr w:type="spellEnd"/>
      <w:r w:rsidR="00825C33" w:rsidRPr="00825C33">
        <w:rPr>
          <w:rStyle w:val="markedcontent"/>
          <w:rFonts w:ascii="Times New Roman" w:hAnsi="Times New Roman" w:cs="Times New Roman"/>
          <w:b/>
          <w:sz w:val="24"/>
          <w:szCs w:val="24"/>
        </w:rPr>
        <w:t>: ещё об одной ложной аналогии в вопросе о хиротониях</w:t>
      </w:r>
    </w:p>
    <w:p w:rsidR="00DC50CF" w:rsidRPr="00DC50CF" w:rsidRDefault="00DC50CF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Святителю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Мелетию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Антиохийскому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В сохранившихся источниках нет ясных сведений о том, кто именно рукополагал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свт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Мелетия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Севастийскую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кафедру. Автор доказывает в статье некорректность</w:t>
      </w:r>
      <w:r w:rsidR="00FB419C">
        <w:rPr>
          <w:rStyle w:val="markedcontent"/>
          <w:rFonts w:ascii="Times New Roman" w:hAnsi="Times New Roman" w:cs="Times New Roman"/>
          <w:sz w:val="24"/>
          <w:szCs w:val="24"/>
        </w:rPr>
        <w:t xml:space="preserve"> ссылок на «случай </w:t>
      </w:r>
      <w:proofErr w:type="spellStart"/>
      <w:r w:rsidR="00FB419C">
        <w:rPr>
          <w:rStyle w:val="markedcontent"/>
          <w:rFonts w:ascii="Times New Roman" w:hAnsi="Times New Roman" w:cs="Times New Roman"/>
          <w:sz w:val="24"/>
          <w:szCs w:val="24"/>
        </w:rPr>
        <w:t>Мелетия</w:t>
      </w:r>
      <w:proofErr w:type="spellEnd"/>
      <w:r w:rsidR="00FB419C">
        <w:rPr>
          <w:rStyle w:val="markedcontent"/>
          <w:rFonts w:ascii="Times New Roman" w:hAnsi="Times New Roman" w:cs="Times New Roman"/>
          <w:sz w:val="24"/>
          <w:szCs w:val="24"/>
        </w:rPr>
        <w:t>» как на пример того, что Церковь могла признать хиротонии, совершенные еретиками или раскольниками.</w:t>
      </w:r>
    </w:p>
    <w:p w:rsidR="00825C33" w:rsidRDefault="00825C33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Илия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Тягин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В.Б. Трипольский, М.Б.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 История церковного служения и храмового строительства в Московском военном госпитале (ныне – Главный военный клинический госпиталь имени академика Н.Н. Бурденко)</w:t>
      </w:r>
    </w:p>
    <w:p w:rsidR="00FB419C" w:rsidRPr="00FB419C" w:rsidRDefault="00FB419C" w:rsidP="00FB419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истории церковного служения и храмового строительства в </w:t>
      </w:r>
      <w:r w:rsidRPr="00FB419C">
        <w:rPr>
          <w:rStyle w:val="markedcontent"/>
          <w:rFonts w:ascii="Times New Roman" w:hAnsi="Times New Roman" w:cs="Times New Roman"/>
          <w:sz w:val="24"/>
          <w:szCs w:val="24"/>
        </w:rPr>
        <w:t>Московском военном госпитале (ныне – Главный военный клинический госпиталь имени академика Н.Н. Бурденко)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где с 1707 г. в первом российском военном стационарном храме началась молитва о российском воинстве.</w:t>
      </w:r>
    </w:p>
    <w:p w:rsidR="00825C33" w:rsidRDefault="00825C33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Серафим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Гоюк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Правовой статус Русской Церкви в СССР (1953-1955 гг.)</w:t>
      </w:r>
    </w:p>
    <w:p w:rsidR="00FB419C" w:rsidRPr="00FB419C" w:rsidRDefault="00FB419C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B419C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статье демонстрируются исторические процессы периода с 1953 по1955 год, в результате которых государственно</w:t>
      </w:r>
      <w:r w:rsidR="000F02DB">
        <w:rPr>
          <w:rStyle w:val="markedcontent"/>
          <w:rFonts w:ascii="Times New Roman" w:hAnsi="Times New Roman" w:cs="Times New Roman"/>
          <w:sz w:val="24"/>
          <w:szCs w:val="24"/>
        </w:rPr>
        <w:t>-церковные отношения претерпевали значительные изменения.</w:t>
      </w:r>
    </w:p>
    <w:p w:rsidR="004D2A54" w:rsidRDefault="004D2A54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В.П. Фролов. Положение зарубежных приходов, представительств и подворий Московского Патриархата (1988-2013 гг.)</w:t>
      </w:r>
    </w:p>
    <w:p w:rsidR="000F02DB" w:rsidRDefault="000F02DB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F02DB">
        <w:rPr>
          <w:rStyle w:val="markedcontent"/>
          <w:rFonts w:ascii="Times New Roman" w:hAnsi="Times New Roman" w:cs="Times New Roman"/>
          <w:sz w:val="24"/>
          <w:szCs w:val="24"/>
        </w:rPr>
        <w:t>В статье представлен обобщенный обзор становления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развития зарубежных учреждений московского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Патриархата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ается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описание основных принципов и подходов во внешней деятельности Русской Православной Церкви и её взаимоотношений с Российским государством.</w:t>
      </w:r>
    </w:p>
    <w:p w:rsidR="000F02DB" w:rsidRPr="000F02DB" w:rsidRDefault="000F02DB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D2A54" w:rsidRDefault="004D2A54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Е.В. Никольский. Политика Временного Правительства по отношению к Русской православной Церкви</w:t>
      </w:r>
    </w:p>
    <w:p w:rsidR="000F02DB" w:rsidRPr="000F02DB" w:rsidRDefault="000F02DB" w:rsidP="0060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проанализированы проблемные и болезненные явления, с которыми Русская Православная Церковь столкнулась после падения монархии в России.</w:t>
      </w:r>
    </w:p>
    <w:sectPr w:rsidR="000F02DB" w:rsidRPr="000F02DB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F02DB"/>
    <w:rsid w:val="00203F3B"/>
    <w:rsid w:val="002D3861"/>
    <w:rsid w:val="002D45BF"/>
    <w:rsid w:val="00303417"/>
    <w:rsid w:val="003E0600"/>
    <w:rsid w:val="004152E9"/>
    <w:rsid w:val="004D2A54"/>
    <w:rsid w:val="00541295"/>
    <w:rsid w:val="00605049"/>
    <w:rsid w:val="006A020C"/>
    <w:rsid w:val="00797AC6"/>
    <w:rsid w:val="00825C33"/>
    <w:rsid w:val="00880CBD"/>
    <w:rsid w:val="008A29A8"/>
    <w:rsid w:val="008C7E01"/>
    <w:rsid w:val="00AA3C66"/>
    <w:rsid w:val="00B70634"/>
    <w:rsid w:val="00BA7BF2"/>
    <w:rsid w:val="00C23A94"/>
    <w:rsid w:val="00C46CA4"/>
    <w:rsid w:val="00CF4C81"/>
    <w:rsid w:val="00D8778A"/>
    <w:rsid w:val="00DC50CF"/>
    <w:rsid w:val="00FB419C"/>
    <w:rsid w:val="00FD3802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  <w:style w:type="paragraph" w:styleId="a3">
    <w:name w:val="List Paragraph"/>
    <w:basedOn w:val="a"/>
    <w:uiPriority w:val="34"/>
    <w:qFormat/>
    <w:rsid w:val="00FF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6</cp:revision>
  <dcterms:created xsi:type="dcterms:W3CDTF">2022-03-17T08:55:00Z</dcterms:created>
  <dcterms:modified xsi:type="dcterms:W3CDTF">2022-10-07T05:52:00Z</dcterms:modified>
</cp:coreProperties>
</file>