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1C" w:rsidRPr="00A920C8" w:rsidRDefault="0057331C" w:rsidP="0057331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920C8">
        <w:rPr>
          <w:rFonts w:asciiTheme="minorHAnsi" w:hAnsiTheme="minorHAnsi" w:cstheme="minorHAnsi"/>
        </w:rPr>
        <w:t xml:space="preserve">В библиотеку Семинарии поступил </w:t>
      </w:r>
      <w:r w:rsidR="00A90A0C">
        <w:rPr>
          <w:rFonts w:asciiTheme="minorHAnsi" w:hAnsiTheme="minorHAnsi" w:cstheme="minorHAnsi"/>
        </w:rPr>
        <w:t>3</w:t>
      </w:r>
      <w:bookmarkStart w:id="0" w:name="_GoBack"/>
      <w:bookmarkEnd w:id="0"/>
      <w:r w:rsidR="007F5B7F">
        <w:rPr>
          <w:rFonts w:asciiTheme="minorHAnsi" w:hAnsiTheme="minorHAnsi" w:cstheme="minorHAnsi"/>
        </w:rPr>
        <w:t>-</w:t>
      </w:r>
      <w:r w:rsidRPr="00A920C8">
        <w:rPr>
          <w:rFonts w:asciiTheme="minorHAnsi" w:hAnsiTheme="minorHAnsi" w:cstheme="minorHAnsi"/>
        </w:rPr>
        <w:t>й (</w:t>
      </w:r>
      <w:r w:rsidR="00DC5E2D">
        <w:rPr>
          <w:rFonts w:asciiTheme="minorHAnsi" w:hAnsiTheme="minorHAnsi" w:cstheme="minorHAnsi"/>
        </w:rPr>
        <w:t>47</w:t>
      </w:r>
      <w:r w:rsidRPr="00A920C8">
        <w:rPr>
          <w:rFonts w:asciiTheme="minorHAnsi" w:hAnsiTheme="minorHAnsi" w:cstheme="minorHAnsi"/>
        </w:rPr>
        <w:t>) номер журнала «</w:t>
      </w:r>
      <w:r w:rsidRPr="00A920C8">
        <w:rPr>
          <w:rFonts w:asciiTheme="minorHAnsi" w:hAnsiTheme="minorHAnsi" w:cstheme="minorHAnsi"/>
          <w:b/>
        </w:rPr>
        <w:t>Вестник Православного Свято-</w:t>
      </w:r>
      <w:proofErr w:type="spellStart"/>
      <w:r w:rsidRPr="00A920C8">
        <w:rPr>
          <w:rFonts w:asciiTheme="minorHAnsi" w:hAnsiTheme="minorHAnsi" w:cstheme="minorHAnsi"/>
          <w:b/>
        </w:rPr>
        <w:t>Тихоновского</w:t>
      </w:r>
      <w:proofErr w:type="spellEnd"/>
      <w:r w:rsidRPr="00A920C8">
        <w:rPr>
          <w:rFonts w:asciiTheme="minorHAnsi" w:hAnsiTheme="minorHAnsi" w:cstheme="minorHAnsi"/>
          <w:b/>
        </w:rPr>
        <w:t xml:space="preserve"> г</w:t>
      </w:r>
      <w:r w:rsidR="007F5B7F">
        <w:rPr>
          <w:rFonts w:asciiTheme="minorHAnsi" w:hAnsiTheme="minorHAnsi" w:cstheme="minorHAnsi"/>
          <w:b/>
        </w:rPr>
        <w:t>уманитарного университета. Вопросы истории и теории христианского искусства</w:t>
      </w:r>
      <w:r w:rsidRPr="00A920C8">
        <w:rPr>
          <w:rFonts w:asciiTheme="minorHAnsi" w:hAnsiTheme="minorHAnsi" w:cstheme="minorHAnsi"/>
          <w:b/>
        </w:rPr>
        <w:t>»</w:t>
      </w:r>
      <w:r w:rsidRPr="00A920C8">
        <w:rPr>
          <w:rFonts w:asciiTheme="minorHAnsi" w:hAnsiTheme="minorHAnsi" w:cstheme="minorHAnsi"/>
        </w:rPr>
        <w:t xml:space="preserve"> за 202</w:t>
      </w:r>
      <w:r w:rsidR="00F005E3">
        <w:rPr>
          <w:rFonts w:asciiTheme="minorHAnsi" w:hAnsiTheme="minorHAnsi" w:cstheme="minorHAnsi"/>
        </w:rPr>
        <w:t>2</w:t>
      </w:r>
      <w:r w:rsidRPr="00A920C8">
        <w:rPr>
          <w:rFonts w:asciiTheme="minorHAnsi" w:hAnsiTheme="minorHAnsi" w:cstheme="minorHAnsi"/>
        </w:rPr>
        <w:t xml:space="preserve"> г.</w:t>
      </w:r>
    </w:p>
    <w:p w:rsidR="0057331C" w:rsidRDefault="0057331C" w:rsidP="0057331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Содержание номера</w:t>
      </w: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F30326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ИССЛЕДОВАНИЯ</w:t>
      </w:r>
    </w:p>
    <w:p w:rsidR="007758A4" w:rsidRDefault="007758A4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257CC9" w:rsidRDefault="00DC5E2D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5E2D">
        <w:rPr>
          <w:rFonts w:ascii="Times New Roman" w:hAnsi="Times New Roman" w:cs="Times New Roman"/>
          <w:b/>
          <w:sz w:val="24"/>
          <w:szCs w:val="24"/>
        </w:rPr>
        <w:t>Овчарова</w:t>
      </w:r>
      <w:proofErr w:type="spellEnd"/>
      <w:r w:rsidRPr="00DC5E2D">
        <w:rPr>
          <w:rFonts w:ascii="Times New Roman" w:hAnsi="Times New Roman" w:cs="Times New Roman"/>
          <w:b/>
          <w:sz w:val="24"/>
          <w:szCs w:val="24"/>
        </w:rPr>
        <w:t xml:space="preserve"> О.</w:t>
      </w:r>
      <w:r>
        <w:rPr>
          <w:rFonts w:ascii="Times New Roman" w:hAnsi="Times New Roman" w:cs="Times New Roman"/>
          <w:b/>
          <w:sz w:val="24"/>
          <w:szCs w:val="24"/>
        </w:rPr>
        <w:t>В.  С</w:t>
      </w:r>
      <w:r w:rsidRPr="00DC5E2D">
        <w:rPr>
          <w:rFonts w:ascii="Times New Roman" w:hAnsi="Times New Roman" w:cs="Times New Roman"/>
          <w:b/>
          <w:sz w:val="24"/>
          <w:szCs w:val="24"/>
        </w:rPr>
        <w:t>вятые бессребреники</w:t>
      </w:r>
      <w:r w:rsidR="00257CC9" w:rsidRPr="00DC5E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средневизантийских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храмов с погребениями</w:t>
      </w:r>
    </w:p>
    <w:p w:rsidR="007758A4" w:rsidRPr="00A43092" w:rsidRDefault="00A43092" w:rsidP="008B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092">
        <w:rPr>
          <w:rFonts w:ascii="Times New Roman" w:hAnsi="Times New Roman" w:cs="Times New Roman"/>
          <w:sz w:val="24"/>
          <w:szCs w:val="24"/>
        </w:rPr>
        <w:t>В статье рассм</w:t>
      </w:r>
      <w:r>
        <w:rPr>
          <w:rFonts w:ascii="Times New Roman" w:hAnsi="Times New Roman" w:cs="Times New Roman"/>
          <w:sz w:val="24"/>
          <w:szCs w:val="24"/>
        </w:rPr>
        <w:t>атривается тенденция изображать в византийских храмовых росписях святых врачей-бессребреников вблизи от захоронений. Цель исследовани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установить возможные факторы  формирования такого рода программ.</w:t>
      </w:r>
    </w:p>
    <w:p w:rsidR="00DC5E2D" w:rsidRDefault="00DC5E2D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Ендольцева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Е.Ю.  Образы змеи и рыбы в архитектурной декорации христианских храмов Кавказа в эпоху Средневековья: некоторые размышления</w:t>
      </w:r>
    </w:p>
    <w:p w:rsidR="00A43092" w:rsidRPr="00A43092" w:rsidRDefault="00A43092" w:rsidP="008B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посвящена изображениям рыб и змей в архитектурной пластике христианских храмов на Кавказе в X-XIV вв. Тема змееборцев не рассматривается. В фокусе исследования змей(без лап и клыков, в отличи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змей-драконов), когда они представлены изолированно, в геральд</w:t>
      </w:r>
      <w:r w:rsidR="00363F2C">
        <w:rPr>
          <w:rFonts w:ascii="Times New Roman" w:hAnsi="Times New Roman" w:cs="Times New Roman"/>
          <w:sz w:val="24"/>
          <w:szCs w:val="24"/>
        </w:rPr>
        <w:t>ических позах или в сценах погло</w:t>
      </w:r>
      <w:r>
        <w:rPr>
          <w:rFonts w:ascii="Times New Roman" w:hAnsi="Times New Roman" w:cs="Times New Roman"/>
          <w:sz w:val="24"/>
          <w:szCs w:val="24"/>
        </w:rPr>
        <w:t>щения пророка Ионы китом</w:t>
      </w:r>
      <w:r w:rsidR="00363F2C">
        <w:rPr>
          <w:rFonts w:ascii="Times New Roman" w:hAnsi="Times New Roman" w:cs="Times New Roman"/>
          <w:sz w:val="24"/>
          <w:szCs w:val="24"/>
        </w:rPr>
        <w:t>, а также изолированных изображений рыб.</w:t>
      </w:r>
    </w:p>
    <w:p w:rsidR="00DC5E2D" w:rsidRDefault="00DC5E2D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Куликова Е.А. Программа фрескового цикла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Бенноцо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Гоццоли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хоре церкви Сан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Франческо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Монтефалько</w:t>
      </w:r>
      <w:proofErr w:type="spellEnd"/>
    </w:p>
    <w:p w:rsidR="0024773B" w:rsidRPr="0024773B" w:rsidRDefault="0024773B" w:rsidP="008B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Фрески на сюжеты жития святого Франциска в хоре главной францисканской церкви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Монтефалько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написаны </w:t>
      </w:r>
      <w:proofErr w:type="spellStart"/>
      <w:r w:rsidRPr="0024773B">
        <w:rPr>
          <w:rFonts w:ascii="Times New Roman" w:hAnsi="Times New Roman" w:cs="Times New Roman"/>
          <w:sz w:val="24"/>
          <w:szCs w:val="24"/>
        </w:rPr>
        <w:t>Бенноцо</w:t>
      </w:r>
      <w:proofErr w:type="spellEnd"/>
      <w:r w:rsidRPr="0024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73B">
        <w:rPr>
          <w:rFonts w:ascii="Times New Roman" w:hAnsi="Times New Roman" w:cs="Times New Roman"/>
          <w:sz w:val="24"/>
          <w:szCs w:val="24"/>
        </w:rPr>
        <w:t>Гоццоли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1452 г. Долгое время они были малоизученны. Предметом настоящей статьи является уточнение программного замысла капеллы.</w:t>
      </w:r>
    </w:p>
    <w:p w:rsidR="00DC5E2D" w:rsidRDefault="00DC5E2D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Старикова И.В., Тюрина О.В.  Ладовое своеобразие 4-го гласа в византийской традиции на протяжении столетий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="007758A4" w:rsidRPr="007758A4">
        <w:rPr>
          <w:rFonts w:ascii="Times New Roman" w:hAnsi="Times New Roman" w:cs="Times New Roman"/>
          <w:b/>
          <w:sz w:val="24"/>
          <w:szCs w:val="24"/>
        </w:rPr>
        <w:t>-</w:t>
      </w:r>
      <w:r w:rsidR="007758A4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7758A4" w:rsidRPr="007758A4">
        <w:rPr>
          <w:rFonts w:ascii="Times New Roman" w:hAnsi="Times New Roman" w:cs="Times New Roman"/>
          <w:b/>
          <w:sz w:val="24"/>
          <w:szCs w:val="24"/>
        </w:rPr>
        <w:t xml:space="preserve"> вв.)</w:t>
      </w:r>
    </w:p>
    <w:p w:rsidR="0024773B" w:rsidRPr="0024773B" w:rsidRDefault="0024773B" w:rsidP="008B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Авторами статьи поставлена задача, детально изучив ладовое содержание одного из гласов- </w:t>
      </w:r>
      <w:r w:rsidR="00171D15">
        <w:rPr>
          <w:rFonts w:ascii="Times New Roman" w:hAnsi="Times New Roman" w:cs="Times New Roman"/>
          <w:sz w:val="24"/>
          <w:szCs w:val="24"/>
        </w:rPr>
        <w:t xml:space="preserve">4-ого автентического,- составить его мелодический портрет и проследить эволюцию от византийского классического периода к образцам </w:t>
      </w:r>
      <w:proofErr w:type="spellStart"/>
      <w:r w:rsidR="00171D15">
        <w:rPr>
          <w:rFonts w:ascii="Times New Roman" w:hAnsi="Times New Roman" w:cs="Times New Roman"/>
          <w:sz w:val="24"/>
          <w:szCs w:val="24"/>
        </w:rPr>
        <w:t>позднегреческой</w:t>
      </w:r>
      <w:proofErr w:type="spellEnd"/>
      <w:r w:rsidR="00171D15">
        <w:rPr>
          <w:rFonts w:ascii="Times New Roman" w:hAnsi="Times New Roman" w:cs="Times New Roman"/>
          <w:sz w:val="24"/>
          <w:szCs w:val="24"/>
        </w:rPr>
        <w:t xml:space="preserve"> традиции.</w:t>
      </w:r>
    </w:p>
    <w:p w:rsidR="007758A4" w:rsidRDefault="007758A4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Гусейнова З.М.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Нотированная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рукопись как «открытый текст»</w:t>
      </w:r>
    </w:p>
    <w:p w:rsidR="00171D15" w:rsidRPr="00217F46" w:rsidRDefault="00171D15" w:rsidP="008B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особенности открытого текста</w:t>
      </w:r>
      <w:r w:rsidR="00217F46">
        <w:rPr>
          <w:rFonts w:ascii="Times New Roman" w:hAnsi="Times New Roman" w:cs="Times New Roman"/>
          <w:sz w:val="24"/>
          <w:szCs w:val="24"/>
        </w:rPr>
        <w:t xml:space="preserve"> рассматриваются на примере рукописи XVI в. Собрания Троице-Сергиевой лавры Российской государственной библиотеки № 420, демонстрирующей активную работу над ней как автора, так и последующих мастеров. Множество дополнений и преобразований позволяет говорить об активной творческой работе мастеров с древнерусскими </w:t>
      </w:r>
      <w:proofErr w:type="spellStart"/>
      <w:r w:rsidR="00217F46">
        <w:rPr>
          <w:rFonts w:ascii="Times New Roman" w:hAnsi="Times New Roman" w:cs="Times New Roman"/>
          <w:sz w:val="24"/>
          <w:szCs w:val="24"/>
        </w:rPr>
        <w:t>гимнографическими</w:t>
      </w:r>
      <w:proofErr w:type="spellEnd"/>
      <w:r w:rsidR="00217F46">
        <w:rPr>
          <w:rFonts w:ascii="Times New Roman" w:hAnsi="Times New Roman" w:cs="Times New Roman"/>
          <w:sz w:val="24"/>
          <w:szCs w:val="24"/>
        </w:rPr>
        <w:t xml:space="preserve"> и музыкальными текстами, открытость которых обеспечила богатство распевов.</w:t>
      </w:r>
    </w:p>
    <w:p w:rsidR="007758A4" w:rsidRDefault="007758A4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Вискова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И.В.  Техника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многохорного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письма в сочинениях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Миколая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Зеленьского</w:t>
      </w:r>
      <w:proofErr w:type="spellEnd"/>
    </w:p>
    <w:p w:rsidR="00A90B26" w:rsidRPr="00A90B26" w:rsidRDefault="00A90B26" w:rsidP="008B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многохорного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письма достигло  расцвета в европейской музыкальной культуре середины XVII века. Стиль возник в костелах Западной и Центральной Италии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объеденил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целое поколение молодых польских композиторов. Один из них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Миколай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58A4" w:rsidRDefault="007758A4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Голубев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В.А.  Подносная икона с видом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Лихвинского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Доброго монастыря: датировка,</w:t>
      </w:r>
      <w:r w:rsidR="00A90B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типология, иконография, стиль</w:t>
      </w:r>
    </w:p>
    <w:p w:rsidR="00A90B26" w:rsidRPr="00A90B26" w:rsidRDefault="00A90B26" w:rsidP="008B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посвящена подносной иконе с изображением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Лихвинского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Покровского Доброго монастыря из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ЦМиАР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15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уточняется датировка памятника, определяется его типология, дается характеристика иконографии и стиля.</w:t>
      </w:r>
    </w:p>
    <w:p w:rsidR="007758A4" w:rsidRDefault="007758A4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Гильдина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Т.А., Курочкин М.В.  Храмовая архитектура Вятской губернии эпохи правления Николая I</w:t>
      </w:r>
    </w:p>
    <w:p w:rsidR="00C15FE6" w:rsidRPr="00C15FE6" w:rsidRDefault="00C15FE6" w:rsidP="008B5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публикация является частью комплексного исследования, обращенного к архитектурному наследию Вятской губернии эпохи правления Николая I. Данная статья освещает особенности храмовой архитектуры.</w:t>
      </w:r>
    </w:p>
    <w:p w:rsidR="007758A4" w:rsidRPr="00A90B26" w:rsidRDefault="007758A4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8A4" w:rsidRDefault="007758A4" w:rsidP="00775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ХРОНИКА</w:t>
      </w:r>
    </w:p>
    <w:p w:rsidR="007758A4" w:rsidRDefault="007758A4" w:rsidP="00775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8A4" w:rsidRDefault="007758A4" w:rsidP="00775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Памяти Марины Павловны Рахмановой</w:t>
      </w:r>
    </w:p>
    <w:p w:rsidR="007758A4" w:rsidRPr="007758A4" w:rsidRDefault="007758A4" w:rsidP="00775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Памяти Наталии Викторовны Заболотной</w:t>
      </w:r>
    </w:p>
    <w:p w:rsidR="007758A4" w:rsidRDefault="007758A4" w:rsidP="00775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8A4" w:rsidRPr="007758A4" w:rsidRDefault="007758A4" w:rsidP="00775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758A4" w:rsidRPr="007758A4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2C5B"/>
    <w:rsid w:val="0000528A"/>
    <w:rsid w:val="00037C53"/>
    <w:rsid w:val="000E5017"/>
    <w:rsid w:val="00103EB5"/>
    <w:rsid w:val="00171D15"/>
    <w:rsid w:val="00217F46"/>
    <w:rsid w:val="0022071D"/>
    <w:rsid w:val="00241803"/>
    <w:rsid w:val="002459C5"/>
    <w:rsid w:val="0024773B"/>
    <w:rsid w:val="00257CC9"/>
    <w:rsid w:val="002F6E15"/>
    <w:rsid w:val="00352D6F"/>
    <w:rsid w:val="00363F2C"/>
    <w:rsid w:val="003F0404"/>
    <w:rsid w:val="00420FEB"/>
    <w:rsid w:val="00447B6D"/>
    <w:rsid w:val="004C0E20"/>
    <w:rsid w:val="00517E2C"/>
    <w:rsid w:val="005552DE"/>
    <w:rsid w:val="0057331C"/>
    <w:rsid w:val="005D0A08"/>
    <w:rsid w:val="0063511E"/>
    <w:rsid w:val="006559E4"/>
    <w:rsid w:val="0067464A"/>
    <w:rsid w:val="00742C5B"/>
    <w:rsid w:val="007758A4"/>
    <w:rsid w:val="00791632"/>
    <w:rsid w:val="007F5B7F"/>
    <w:rsid w:val="008733B0"/>
    <w:rsid w:val="00880C36"/>
    <w:rsid w:val="008B360A"/>
    <w:rsid w:val="008B4E12"/>
    <w:rsid w:val="008B5030"/>
    <w:rsid w:val="00940C14"/>
    <w:rsid w:val="00950A63"/>
    <w:rsid w:val="00956797"/>
    <w:rsid w:val="00A15570"/>
    <w:rsid w:val="00A17B60"/>
    <w:rsid w:val="00A26907"/>
    <w:rsid w:val="00A43092"/>
    <w:rsid w:val="00A90A0C"/>
    <w:rsid w:val="00A90B26"/>
    <w:rsid w:val="00AF2E81"/>
    <w:rsid w:val="00B46A54"/>
    <w:rsid w:val="00B54FA6"/>
    <w:rsid w:val="00B611CA"/>
    <w:rsid w:val="00B80CC3"/>
    <w:rsid w:val="00BE2EB5"/>
    <w:rsid w:val="00BF60AE"/>
    <w:rsid w:val="00C1167C"/>
    <w:rsid w:val="00C15FE6"/>
    <w:rsid w:val="00C94E37"/>
    <w:rsid w:val="00CA3C8D"/>
    <w:rsid w:val="00CA7875"/>
    <w:rsid w:val="00CE0CEE"/>
    <w:rsid w:val="00D07A25"/>
    <w:rsid w:val="00DC5E2D"/>
    <w:rsid w:val="00DF3217"/>
    <w:rsid w:val="00E56E88"/>
    <w:rsid w:val="00E979D6"/>
    <w:rsid w:val="00EF1744"/>
    <w:rsid w:val="00F0038D"/>
    <w:rsid w:val="00F005E3"/>
    <w:rsid w:val="00F30326"/>
    <w:rsid w:val="00F31F5F"/>
    <w:rsid w:val="00F450EC"/>
    <w:rsid w:val="00F603A8"/>
    <w:rsid w:val="00FD0EF2"/>
    <w:rsid w:val="00FD1DB4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E"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9B43B-4B4F-414A-9E32-8463CFC2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11</cp:revision>
  <dcterms:created xsi:type="dcterms:W3CDTF">2022-03-24T09:41:00Z</dcterms:created>
  <dcterms:modified xsi:type="dcterms:W3CDTF">2022-10-25T07:29:00Z</dcterms:modified>
</cp:coreProperties>
</file>