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>
        <w:rPr>
          <w:rFonts w:eastAsia="Times New Roman" w:cstheme="minorHAnsi"/>
          <w:sz w:val="24"/>
          <w:szCs w:val="24"/>
        </w:rPr>
        <w:t xml:space="preserve"> № 2 (95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</w:t>
      </w:r>
      <w:r>
        <w:rPr>
          <w:rFonts w:eastAsia="Times New Roman" w:cstheme="minorHAnsi"/>
          <w:sz w:val="24"/>
          <w:szCs w:val="24"/>
        </w:rPr>
        <w:t>21</w:t>
      </w:r>
      <w:r w:rsidRPr="008443BF">
        <w:rPr>
          <w:rFonts w:eastAsia="Times New Roman" w:cstheme="minorHAnsi"/>
          <w:sz w:val="24"/>
          <w:szCs w:val="24"/>
        </w:rPr>
        <w:t xml:space="preserve"> г.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2D45BF" w:rsidRPr="002D45BF" w:rsidRDefault="002D45BF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5BF" w:rsidRDefault="00880CBD" w:rsidP="002D45B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ЮБИЛЕЙ ОТДЕЛА ВНЕШНИХ ЦЕРКОВНЫХ СВЯЗЕЙ МОСКОВСКОГО ПАТРИАРХАТА</w:t>
      </w:r>
    </w:p>
    <w:p w:rsidR="002D45BF" w:rsidRDefault="002D45BF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C7E01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От редакции. К 75-летию Отдела внешних церковных связей Московского Патриархата</w:t>
      </w:r>
    </w:p>
    <w:p w:rsidR="008C7E01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Патриарх Московский и всея Руси Кирилл.</w:t>
      </w:r>
      <w:r w:rsidR="008C7E0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Обращение по случаю 75-летия Отдела внешних церковных связей Московского Патриархата</w:t>
      </w:r>
    </w:p>
    <w:p w:rsidR="008C7E01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Митрополит Волоколамский </w:t>
      </w:r>
      <w:proofErr w:type="spell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Иларион</w:t>
      </w:r>
      <w:proofErr w:type="spell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8C7E0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Деятельность ОВЦС в прошлом и настоящем. К 75-летию Отдела внешних церковных связей</w:t>
      </w: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ЦЕРКОВЬ И ОБЩЕСТВО</w:t>
      </w:r>
    </w:p>
    <w:p w:rsidR="008C7E01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Иеромонах Александр (Галушка). Особенности государственной политики по отношению к православным и униатам в Чехословакии во второй половине ХХ века</w:t>
      </w:r>
    </w:p>
    <w:p w:rsidR="00C23A94" w:rsidRPr="00C23A94" w:rsidRDefault="00C23A94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Цель статьи – на основе архивных документов и материалов периодики выявить особенности взаимоотношений государства и двух христианских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(Православная Церковь, Греко-католическая церковь) в Чехословакии во 2-й пол. ХХ в.</w:t>
      </w: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ИСТОРИЯ ЦЕРКВИ</w:t>
      </w:r>
    </w:p>
    <w:p w:rsidR="00000000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Епископ Новокузнецкий и </w:t>
      </w:r>
      <w:proofErr w:type="spell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Владимир. </w:t>
      </w:r>
      <w:proofErr w:type="gram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Дореволюционное</w:t>
      </w:r>
      <w:proofErr w:type="gram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 советское </w:t>
      </w:r>
      <w:proofErr w:type="spell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летописеведение</w:t>
      </w:r>
      <w:proofErr w:type="spell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: </w:t>
      </w:r>
      <w:r w:rsidR="006A020C">
        <w:rPr>
          <w:rStyle w:val="markedcontent"/>
          <w:rFonts w:ascii="Times New Roman" w:hAnsi="Times New Roman" w:cs="Times New Roman"/>
          <w:b/>
          <w:sz w:val="24"/>
          <w:szCs w:val="24"/>
        </w:rPr>
        <w:t>конфликт подходов</w:t>
      </w:r>
    </w:p>
    <w:p w:rsidR="006A020C" w:rsidRDefault="00797AC6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 взглядах русских историков советского периода ХХ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и позднего имперского периода конца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XIX</w:t>
      </w:r>
      <w:r w:rsidRPr="00797A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в. на летописи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XIV</w:t>
      </w:r>
      <w:r w:rsidRPr="00797A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в.</w:t>
      </w:r>
    </w:p>
    <w:p w:rsidR="00797AC6" w:rsidRPr="00797AC6" w:rsidRDefault="00797AC6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A020C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Иеродиакон Иоанн (</w:t>
      </w:r>
      <w:proofErr w:type="gram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Мерзляков</w:t>
      </w:r>
      <w:proofErr w:type="gram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). Некоторые явления церковно-государственных отношений Московской Руси в XIV–XV веках</w:t>
      </w:r>
      <w:r w:rsidR="00797AC6" w:rsidRPr="00797A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D3802" w:rsidRDefault="00797AC6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Церковь и государство в Московском государстве в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вв.</w:t>
      </w:r>
    </w:p>
    <w:p w:rsidR="006A020C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Священник Алексий </w:t>
      </w:r>
      <w:proofErr w:type="spell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Рыженков</w:t>
      </w:r>
      <w:proofErr w:type="spell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. Феномен «автобиографического жития» в контексте старообрядческой письменности</w:t>
      </w:r>
    </w:p>
    <w:p w:rsidR="00FD3802" w:rsidRPr="00FD3802" w:rsidRDefault="00FD3802" w:rsidP="00FD380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ф</w:t>
      </w:r>
      <w:r w:rsidRPr="00FD3802">
        <w:rPr>
          <w:rStyle w:val="markedcontent"/>
          <w:rFonts w:ascii="Times New Roman" w:hAnsi="Times New Roman" w:cs="Times New Roman"/>
          <w:sz w:val="24"/>
          <w:szCs w:val="24"/>
        </w:rPr>
        <w:t>еномен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FD3802">
        <w:rPr>
          <w:rStyle w:val="markedcontent"/>
          <w:rFonts w:ascii="Times New Roman" w:hAnsi="Times New Roman" w:cs="Times New Roman"/>
          <w:sz w:val="24"/>
          <w:szCs w:val="24"/>
        </w:rPr>
        <w:t xml:space="preserve"> «автобиографического жития» в контексте старообрядческой письменности</w:t>
      </w:r>
    </w:p>
    <w:p w:rsidR="006A020C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Священник Андрей </w:t>
      </w:r>
      <w:proofErr w:type="spell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Курлыкин</w:t>
      </w:r>
      <w:proofErr w:type="spell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. Кадровый состав Русской Духовной Миссии в Китае: миссионерский аспект</w:t>
      </w:r>
    </w:p>
    <w:p w:rsidR="00FD3802" w:rsidRPr="00FD3802" w:rsidRDefault="00C46CA4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 миссионерском аспекте кадровой политики Русской Духовной Миссии в Китае до революции 1917 г.</w:t>
      </w:r>
    </w:p>
    <w:p w:rsidR="006A020C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Священник Михаил Лях. «Путешествие по Далмации» епископа Порфирия (Успенского) как культурно-исторический источник</w:t>
      </w:r>
    </w:p>
    <w:p w:rsidR="00C46CA4" w:rsidRPr="00AA3C66" w:rsidRDefault="00AA3C66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История «Путешествия</w:t>
      </w:r>
      <w:r w:rsidRPr="00AA3C66">
        <w:rPr>
          <w:rStyle w:val="markedcontent"/>
          <w:rFonts w:ascii="Times New Roman" w:hAnsi="Times New Roman" w:cs="Times New Roman"/>
          <w:sz w:val="24"/>
          <w:szCs w:val="24"/>
        </w:rPr>
        <w:t xml:space="preserve"> по Далмации»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 разрезе культурно-исторического источника.</w:t>
      </w:r>
    </w:p>
    <w:p w:rsidR="00880CBD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Протоиерей Александр </w:t>
      </w:r>
      <w:proofErr w:type="spell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Берташ</w:t>
      </w:r>
      <w:proofErr w:type="spell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Пюхтицкий</w:t>
      </w:r>
      <w:proofErr w:type="spell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Успенский монастырь в революционное время и в независимой Эстонии</w:t>
      </w:r>
    </w:p>
    <w:p w:rsidR="00AA3C66" w:rsidRPr="00AA3C66" w:rsidRDefault="00AA3C66" w:rsidP="0060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Первое полное историческое описание наименее изученного периода жизни </w:t>
      </w:r>
      <w:proofErr w:type="spellStart"/>
      <w:r w:rsidRPr="00AA3C66">
        <w:rPr>
          <w:rStyle w:val="markedcontent"/>
          <w:rFonts w:ascii="Times New Roman" w:hAnsi="Times New Roman" w:cs="Times New Roman"/>
          <w:sz w:val="24"/>
          <w:szCs w:val="24"/>
        </w:rPr>
        <w:t>Пюхтицк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proofErr w:type="spellEnd"/>
      <w:r w:rsidRPr="00AA3C66">
        <w:rPr>
          <w:rStyle w:val="markedcontent"/>
          <w:rFonts w:ascii="Times New Roman" w:hAnsi="Times New Roman" w:cs="Times New Roman"/>
          <w:sz w:val="24"/>
          <w:szCs w:val="24"/>
        </w:rPr>
        <w:t xml:space="preserve"> Успенск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AA3C66">
        <w:rPr>
          <w:rStyle w:val="markedcontent"/>
          <w:rFonts w:ascii="Times New Roman" w:hAnsi="Times New Roman" w:cs="Times New Roman"/>
          <w:sz w:val="24"/>
          <w:szCs w:val="24"/>
        </w:rPr>
        <w:t xml:space="preserve"> монастыр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я.</w:t>
      </w:r>
    </w:p>
    <w:sectPr w:rsidR="00AA3C66" w:rsidRPr="00AA3C66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203F3B"/>
    <w:rsid w:val="002D45BF"/>
    <w:rsid w:val="00303417"/>
    <w:rsid w:val="004152E9"/>
    <w:rsid w:val="00605049"/>
    <w:rsid w:val="006A020C"/>
    <w:rsid w:val="00797AC6"/>
    <w:rsid w:val="00880CBD"/>
    <w:rsid w:val="008C7E01"/>
    <w:rsid w:val="00AA3C66"/>
    <w:rsid w:val="00C23A94"/>
    <w:rsid w:val="00C46CA4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2021-08-25T06:10:00Z</dcterms:created>
  <dcterms:modified xsi:type="dcterms:W3CDTF">2021-08-25T06:30:00Z</dcterms:modified>
</cp:coreProperties>
</file>